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Please clarify whether the Institute of World Economy of the Romanian Academy, based in Bucharest and which has no branches or offices in other areas but operates at national level </w:t>
            </w:r>
            <w:r w:rsidRPr="002F3F16">
              <w:rPr>
                <w:rFonts w:ascii="Trebuchet MS" w:hAnsi="Trebuchet MS"/>
                <w:color w:val="244061" w:themeColor="accent1" w:themeShade="80"/>
                <w:sz w:val="22"/>
                <w:szCs w:val="22"/>
                <w:lang w:val="en-GB"/>
              </w:rPr>
              <w:lastRenderedPageBreak/>
              <w:t>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relation to your request regarding the eligibility of the Institute of World Economy of the Romanian Academy, we inform you that, in accordance with the provisions of the Applicant Guide, section 2.2 - Eligible applications and applicants, entities outside the eligible area of the Programme,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2. They carry out activities that bring direct benefits to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It is the applicant's responsibility to demonstrate in the project proposal how the Institute of World Economy involvement will bring added value to the implementation of the project in the eligible area of the Programme.</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lastRenderedPageBreak/>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Programme area, depending 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Further on, at page 8, it is mentioned that “Applicants, outside the Programme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Are competent in their scope of action for certain parts of the Programme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Carry out activities that are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Their participation must bring clear added value and expertise to the implementation of a project and has to be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w:t>
            </w:r>
            <w:r w:rsidRPr="00792AE1">
              <w:rPr>
                <w:rFonts w:ascii="Trebuchet MS" w:eastAsia="Calibri" w:hAnsi="Trebuchet MS"/>
                <w:color w:val="244061" w:themeColor="accent1" w:themeShade="80"/>
                <w:sz w:val="22"/>
                <w:szCs w:val="22"/>
              </w:rPr>
              <w:lastRenderedPageBreak/>
              <w:t xml:space="preserve">(equipment, infrastructure, works etc.) should be implemented exclusively in the Programme area. The purchased equipment must be located, installed and used in the eligible area of the Programme.  As an exception, in duly justified cases, IT equipment (such as laptops and/or desktops) can be purchased and used outside the Programme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w:t>
            </w:r>
            <w:r w:rsidRPr="0045369A">
              <w:rPr>
                <w:rFonts w:ascii="Trebuchet MS" w:hAnsi="Trebuchet MS"/>
                <w:color w:val="244061" w:themeColor="accent1" w:themeShade="80"/>
                <w:sz w:val="22"/>
                <w:szCs w:val="22"/>
              </w:rPr>
              <w:lastRenderedPageBreak/>
              <w:t xml:space="preserve">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even though the branch will be involved in the 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Programme,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t>
            </w:r>
            <w:r w:rsidRPr="0045369A">
              <w:rPr>
                <w:rFonts w:ascii="Trebuchet MS" w:eastAsia="Calibri" w:hAnsi="Trebuchet MS"/>
                <w:color w:val="244061" w:themeColor="accent1" w:themeShade="80"/>
                <w:sz w:val="22"/>
                <w:szCs w:val="22"/>
              </w:rPr>
              <w:lastRenderedPageBreak/>
              <w:t xml:space="preserve">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VAT number, etc.) shall be provided with reference to the headquarters, which holds the main responsibility for the project and for ensuring the financial resources. Please also note that Applicants from outside the Programme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w:t>
            </w:r>
            <w:r w:rsidRPr="0045369A">
              <w:rPr>
                <w:rFonts w:ascii="Trebuchet MS" w:eastAsia="Calibri" w:hAnsi="Trebuchet MS"/>
                <w:color w:val="244061" w:themeColor="accent1" w:themeShade="80"/>
                <w:sz w:val="22"/>
                <w:szCs w:val="22"/>
              </w:rPr>
              <w:lastRenderedPageBreak/>
              <w:t>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C91993" w:rsidRPr="004B0D6B" w:rsidTr="002C14DC">
        <w:trPr>
          <w:tblHeader/>
        </w:trPr>
        <w:tc>
          <w:tcPr>
            <w:tcW w:w="918" w:type="dxa"/>
            <w:shd w:val="clear" w:color="auto" w:fill="auto"/>
            <w:vAlign w:val="center"/>
          </w:tcPr>
          <w:p w:rsidR="00C91993" w:rsidRDefault="00C91993"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III.4</w:t>
            </w:r>
          </w:p>
        </w:tc>
        <w:tc>
          <w:tcPr>
            <w:tcW w:w="6660" w:type="dxa"/>
            <w:shd w:val="clear" w:color="auto" w:fill="auto"/>
          </w:tcPr>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We are currently developing a project proposal under the 5th call of the INTERREG VI-A Romania–Bulgaria Programme (Specific Objective 2.7), which involves the renovation and transformation of an abandoned school building owned by a Bulgarian municipality (also partner in the project) into a cross-border Biodiversity and Sports Living Lab.</w:t>
            </w:r>
          </w:p>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In this regard, we kindly request clarification on the following two points:</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Contractual arrangements between municipality and NGO</w:t>
            </w:r>
            <w:r w:rsidRPr="000A52CB">
              <w:rPr>
                <w:rFonts w:ascii="Trebuchet MS" w:eastAsia="Calibri" w:hAnsi="Trebuchet MS"/>
                <w:color w:val="244061" w:themeColor="accent1" w:themeShade="80"/>
                <w:sz w:val="22"/>
                <w:szCs w:val="22"/>
                <w:lang w:val="en-GB"/>
              </w:rPr>
              <w:br/>
              <w:t>Is it permissible under the Programme rules for the owning municipality (public body) to sign a contract or agreement with a local sports club (NGO and project partner) for the management and exploitation of the renovated facility (the school building)? The intention is for the NGO to operate the Living Lab and ensure its long-term functionality and community outreach.</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Delegation of tendering responsibility to NGO Partner</w:t>
            </w:r>
            <w:r w:rsidRPr="000A52CB">
              <w:rPr>
                <w:rFonts w:ascii="Trebuchet MS" w:eastAsia="Calibri" w:hAnsi="Trebuchet MS"/>
                <w:color w:val="244061" w:themeColor="accent1" w:themeShade="80"/>
                <w:sz w:val="22"/>
                <w:szCs w:val="22"/>
                <w:lang w:val="en-GB"/>
              </w:rPr>
              <w:br/>
              <w:t xml:space="preserve">Given that the BG municipality currently lacks sufficient administrative and human resource capacity to carry out procurement procedures, would it be acceptable under programme regulations for the NGO partner to launch and manage the tender procedures for the refurbishment of the municipal building, assuming this is clearly agreed upon and </w:t>
            </w:r>
            <w:r w:rsidRPr="000A52CB">
              <w:rPr>
                <w:rFonts w:ascii="Trebuchet MS" w:eastAsia="Calibri" w:hAnsi="Trebuchet MS"/>
                <w:color w:val="244061" w:themeColor="accent1" w:themeShade="80"/>
                <w:sz w:val="22"/>
                <w:szCs w:val="22"/>
                <w:lang w:val="en-GB"/>
              </w:rPr>
              <w:lastRenderedPageBreak/>
              <w:t>detailed within the project proposal and partnership agreement?</w:t>
            </w:r>
          </w:p>
          <w:p w:rsidR="00C91993" w:rsidRDefault="00C91993" w:rsidP="00C91993">
            <w:pPr>
              <w:spacing w:line="240" w:lineRule="auto"/>
              <w:jc w:val="both"/>
              <w:rPr>
                <w:rFonts w:ascii="Trebuchet MS" w:hAnsi="Trebuchet MS"/>
                <w:color w:val="244061" w:themeColor="accent1" w:themeShade="80"/>
                <w:sz w:val="22"/>
                <w:szCs w:val="22"/>
              </w:rPr>
            </w:pPr>
            <w:r w:rsidRPr="000A52CB">
              <w:rPr>
                <w:rFonts w:ascii="Trebuchet MS" w:eastAsia="Calibri" w:hAnsi="Trebuchet MS"/>
                <w:color w:val="244061" w:themeColor="accent1" w:themeShade="80"/>
                <w:sz w:val="22"/>
                <w:szCs w:val="22"/>
                <w:lang w:val="en-GB"/>
              </w:rPr>
              <w:t>We would appreciate your guidance on whether such arrangements comply with the programme rules and eligibility criteria, especially regarding ownership, investment, and procurement under shared management.</w:t>
            </w:r>
          </w:p>
        </w:tc>
        <w:tc>
          <w:tcPr>
            <w:tcW w:w="6390" w:type="dxa"/>
            <w:shd w:val="clear" w:color="auto" w:fill="auto"/>
          </w:tcPr>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First of all, please note that call 5 is addressed to types of actions dedicated to Specific Objective 2.7: Enhancing protection and preservation of nature, biodiversity and green infrastructure, including in urban areas, and reducing all forms of pollution. In this respect, we kindly ask you to carefully consider the eligible types of actions (please refer to Section 2.3 – Eligible indicative types of actions of the Guide).</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Secondly, please take into consideration a set of mandatory conditions, as follows: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1.</w:t>
            </w:r>
            <w:r w:rsidRPr="002363DF">
              <w:rPr>
                <w:rFonts w:ascii="Trebuchet MS" w:eastAsia="Calibri" w:hAnsi="Trebuchet MS"/>
                <w:color w:val="244061" w:themeColor="accent1" w:themeShade="80"/>
                <w:sz w:val="22"/>
                <w:szCs w:val="22"/>
                <w:lang w:val="en-GB"/>
              </w:rPr>
              <w:tab/>
              <w:t xml:space="preserve">To be eligible, applicants are required to </w:t>
            </w:r>
            <w:proofErr w:type="spellStart"/>
            <w:r w:rsidRPr="002363DF">
              <w:rPr>
                <w:rFonts w:ascii="Trebuchet MS" w:eastAsia="Calibri" w:hAnsi="Trebuchet MS"/>
                <w:color w:val="244061" w:themeColor="accent1" w:themeShade="80"/>
                <w:sz w:val="22"/>
                <w:szCs w:val="22"/>
                <w:lang w:val="en-GB"/>
              </w:rPr>
              <w:t>fulfill</w:t>
            </w:r>
            <w:proofErr w:type="spellEnd"/>
            <w:r w:rsidRPr="002363DF">
              <w:rPr>
                <w:rFonts w:ascii="Trebuchet MS" w:eastAsia="Calibri" w:hAnsi="Trebuchet MS"/>
                <w:color w:val="244061" w:themeColor="accent1" w:themeShade="80"/>
                <w:sz w:val="22"/>
                <w:szCs w:val="22"/>
                <w:lang w:val="en-GB"/>
              </w:rPr>
              <w:t xml:space="preserve"> a number of criteria and conditions, including:</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Prove their competence in the field and the activities envisaged under the project through ownership acts, legal acts/strategies/action plans references, etc. Thus, the applicant must have the necessary legal authorization, responsibility or task to carry out the proposed activities, according with its statute or according to the national legislation, or alternatively have a formal agreement from the relevant institutions, organizations, bodies etc. to implement these activities. </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For both soft and hard type of operations, the partnership should include project partners or associated project partners legally responsible for the field of interventions/policy domain </w:t>
            </w:r>
            <w:r w:rsidRPr="002363DF">
              <w:rPr>
                <w:rFonts w:ascii="Trebuchet MS" w:eastAsia="Calibri" w:hAnsi="Trebuchet MS"/>
                <w:color w:val="244061" w:themeColor="accent1" w:themeShade="80"/>
                <w:sz w:val="22"/>
                <w:szCs w:val="22"/>
                <w:lang w:val="en-GB"/>
              </w:rPr>
              <w:lastRenderedPageBreak/>
              <w:t>addressed by the project and who will be the user of the project outputs.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Specific Requirements for Bulgarian Partners - in case of infrastructure and works, the investment activities should be carried out on public property, both public and private domain of the state/municipality (the applicant must prove the ownership of the public property or the concession of that property).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Subcontracting between project partners or associated partners is strictly prohibited. Any such cases will result in the entire partnership being deemed ineligible, and the project will be rejected without further assessment.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2.</w:t>
            </w:r>
            <w:r w:rsidRPr="002363DF">
              <w:rPr>
                <w:rFonts w:ascii="Trebuchet MS" w:eastAsia="Calibri" w:hAnsi="Trebuchet MS"/>
                <w:color w:val="244061" w:themeColor="accent1" w:themeShade="80"/>
                <w:sz w:val="22"/>
                <w:szCs w:val="22"/>
                <w:lang w:val="en-GB"/>
              </w:rPr>
              <w:tab/>
              <w:t>Furthermore, at the time of submitting the application, each applicant, in their capacity as project partner, certifies that: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administrative and operational capacity to implement the project proposal, and in particular:</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has enough human resources and technical means to ensure a sound project implementation and management;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Its administrative and financial involvement in the project does not undermine the institution´s daily activities;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is directly responsible for the preparation, management and implementation of the project with project partners, and is not acting as an intermediary.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The institution they represent has the necessary financial resources and mechanisms to cover operation and maintenance costs for investment in infrastructure or productive investment if implemented within the project, so as to ensure their financial sustainability.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Therefore, when developing the future application, please take into account the above-mentioned aspects, as well as the fact that no state aid is granted under this call. Accordingly, specific provisions regarding state aid must be observed. The project must not confer an economic advantage to an undertaking (please refer to the provisions on state aid in the Applicant’s Guide). To this end, please be advised that the operation and administration of the renovated facility must be subject to public procurement procedures in accordance with EU and national legislation, ensuring compliance with the principles of openness, transparency, and non-discrimination. </w:t>
            </w:r>
          </w:p>
          <w:p w:rsidR="00C91993" w:rsidRPr="0045369A" w:rsidRDefault="00C91993" w:rsidP="00C91993">
            <w:pPr>
              <w:spacing w:after="160" w:line="240" w:lineRule="auto"/>
              <w:jc w:val="both"/>
              <w:rPr>
                <w:rFonts w:ascii="Trebuchet MS" w:eastAsia="Calibri" w:hAnsi="Trebuchet MS"/>
                <w:color w:val="244061" w:themeColor="accent1" w:themeShade="80"/>
                <w:sz w:val="22"/>
                <w:szCs w:val="22"/>
              </w:rPr>
            </w:pPr>
            <w:r w:rsidRPr="002363DF">
              <w:rPr>
                <w:rFonts w:ascii="Trebuchet MS" w:eastAsia="Calibri" w:hAnsi="Trebuchet MS"/>
                <w:color w:val="244061" w:themeColor="accent1" w:themeShade="80"/>
                <w:sz w:val="22"/>
                <w:szCs w:val="22"/>
                <w:lang w:val="en-GB"/>
              </w:rPr>
              <w:t>Regarding question no. 2, if the NGO is also a project partner, please be advised that subcontracting between project partners is not allowed within the project, as previously mentioned. However, if your institution lacks the expertise or administrative capacity required to carry out procurement procedures, you may choose to subcontract this type of service under External expertise and services cost category, provided that the expertise and services to be contracted is not available at the level of the project management team and that the Staff costs are not already financing the type of external expertise and services (to be) contracted.</w:t>
            </w:r>
          </w:p>
        </w:tc>
      </w:tr>
      <w:tr w:rsidR="003365C1" w:rsidRPr="004B0D6B" w:rsidTr="002C14DC">
        <w:trPr>
          <w:tblHeader/>
        </w:trPr>
        <w:tc>
          <w:tcPr>
            <w:tcW w:w="918" w:type="dxa"/>
            <w:shd w:val="clear" w:color="auto" w:fill="auto"/>
            <w:vAlign w:val="center"/>
          </w:tcPr>
          <w:p w:rsidR="003365C1" w:rsidRDefault="003365C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5</w:t>
            </w:r>
          </w:p>
        </w:tc>
        <w:tc>
          <w:tcPr>
            <w:tcW w:w="6660" w:type="dxa"/>
            <w:shd w:val="clear" w:color="auto" w:fill="auto"/>
          </w:tcPr>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In the context of preparing an application under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w:t>
            </w:r>
            <w:r w:rsidRPr="003365C1">
              <w:rPr>
                <w:rFonts w:ascii="Trebuchet MS" w:eastAsia="Calibri" w:hAnsi="Trebuchet MS"/>
                <w:color w:val="244061" w:themeColor="accent1" w:themeShade="80"/>
                <w:sz w:val="22"/>
                <w:szCs w:val="22"/>
                <w:lang w:val="en-GB"/>
              </w:rPr>
              <w:lastRenderedPageBreak/>
              <w:t>Objective 2.7, we kindly request your official clarification regarding the following aspect:</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Whether, within the programme’s eligibility framework, lands located outside the built-up area of the locality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also be considered eligible, in cases where they directly contribute to:</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enhancing nature protection,</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conserving biodiversity,</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developing green and blue infrastructure in areas of ecological value.</w:t>
            </w:r>
          </w:p>
          <w:p w:rsidR="003365C1" w:rsidRPr="000A52CB"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This request arises from the intention of the Commune of </w:t>
            </w:r>
            <w:proofErr w:type="spellStart"/>
            <w:r w:rsidRPr="003365C1">
              <w:rPr>
                <w:rFonts w:ascii="Trebuchet MS" w:eastAsia="Calibri" w:hAnsi="Trebuchet MS"/>
                <w:color w:val="244061" w:themeColor="accent1" w:themeShade="80"/>
                <w:sz w:val="22"/>
                <w:szCs w:val="22"/>
                <w:lang w:val="en-GB"/>
              </w:rPr>
              <w:t>Vărăști</w:t>
            </w:r>
            <w:proofErr w:type="spellEnd"/>
            <w:r w:rsidRPr="003365C1">
              <w:rPr>
                <w:rFonts w:ascii="Trebuchet MS" w:eastAsia="Calibri" w:hAnsi="Trebuchet MS"/>
                <w:color w:val="244061" w:themeColor="accent1" w:themeShade="80"/>
                <w:sz w:val="22"/>
                <w:szCs w:val="22"/>
                <w:lang w:val="en-GB"/>
              </w:rPr>
              <w:t xml:space="preserve"> to apply for funding, and such clarification is essential for establishing the correct framework for the proposed investment.</w:t>
            </w:r>
          </w:p>
        </w:tc>
        <w:tc>
          <w:tcPr>
            <w:tcW w:w="6390" w:type="dxa"/>
            <w:shd w:val="clear" w:color="auto" w:fill="auto"/>
          </w:tcPr>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Following your request for clarification regarding the eligibility of lands located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xml:space="preserve">) under </w:t>
            </w:r>
            <w:r w:rsidRPr="003365C1">
              <w:rPr>
                <w:rFonts w:ascii="Trebuchet MS" w:eastAsia="Calibri" w:hAnsi="Trebuchet MS"/>
                <w:color w:val="244061" w:themeColor="accent1" w:themeShade="80"/>
                <w:sz w:val="22"/>
                <w:szCs w:val="22"/>
                <w:lang w:val="en-GB"/>
              </w:rPr>
              <w:lastRenderedPageBreak/>
              <w:t xml:space="preserve">the framework of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please be informed the Applicant’s Guide for Call 5, SO 2.7 does not have such conditions on the land location. As such, land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be used for implementing the activ</w:t>
            </w:r>
            <w:r>
              <w:rPr>
                <w:rFonts w:ascii="Trebuchet MS" w:eastAsia="Calibri" w:hAnsi="Trebuchet MS"/>
                <w:color w:val="244061" w:themeColor="accent1" w:themeShade="80"/>
                <w:sz w:val="22"/>
                <w:szCs w:val="22"/>
                <w:lang w:val="en-GB"/>
              </w:rPr>
              <w:t>ities of the envisaged project.</w:t>
            </w:r>
          </w:p>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Nevertheless, we underline that the proposed investments must observe all the Applicant’s Guide provisions (including those related to the property of the land and its legal status) and the national legal frameworks that regulates the investments on the land situated outside the built-up areas (in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and shall be accompanied by all the approvals and endorsements necessary in case of investme</w:t>
            </w:r>
            <w:r>
              <w:rPr>
                <w:rFonts w:ascii="Trebuchet MS" w:eastAsia="Calibri" w:hAnsi="Trebuchet MS"/>
                <w:color w:val="244061" w:themeColor="accent1" w:themeShade="80"/>
                <w:sz w:val="22"/>
                <w:szCs w:val="22"/>
                <w:lang w:val="en-GB"/>
              </w:rPr>
              <w:t xml:space="preserve">nts outside the built-up area. </w:t>
            </w:r>
          </w:p>
          <w:p w:rsidR="003365C1" w:rsidRPr="002363DF"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Please note that compliance will be assessed during the evaluation phase based on the documentation submitted.</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r w:rsidRPr="00203A62">
              <w:rPr>
                <w:rFonts w:ascii="Trebuchet MS" w:eastAsia="Calibri" w:hAnsi="Trebuchet MS"/>
                <w:color w:val="1F497D"/>
                <w:sz w:val="22"/>
                <w:szCs w:val="22"/>
                <w14:ligatures w14:val="standardContextual"/>
              </w:rPr>
              <w:t xml:space="preserve">We intend to submit a proposal under </w:t>
            </w:r>
            <w:proofErr w:type="spellStart"/>
            <w:r w:rsidRPr="00203A62">
              <w:rPr>
                <w:rFonts w:ascii="Trebuchet MS" w:eastAsia="Calibri" w:hAnsi="Trebuchet MS"/>
                <w:color w:val="1F497D"/>
                <w:sz w:val="22"/>
                <w:szCs w:val="22"/>
                <w14:ligatures w14:val="standardContextual"/>
              </w:rPr>
              <w:t>Interreg</w:t>
            </w:r>
            <w:proofErr w:type="spellEnd"/>
            <w:r w:rsidRPr="00203A62">
              <w:rPr>
                <w:rFonts w:ascii="Trebuchet MS" w:eastAsia="Calibri" w:hAnsi="Trebuchet MS"/>
                <w:color w:val="1F497D"/>
                <w:sz w:val="22"/>
                <w:szCs w:val="22"/>
                <w14:ligatures w14:val="standardContextual"/>
              </w:rPr>
              <w:t xml:space="preserve"> VI-A Romania–Bulgaria – Call 5 and, for the preparation of the financial plan, I respectfully request you to confirm the following aspects:</w:t>
            </w:r>
          </w:p>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t>1.</w:t>
            </w:r>
            <w:r w:rsidR="00366F69" w:rsidRPr="000879DF">
              <w:rPr>
                <w:rFonts w:ascii="Trebuchet MS" w:eastAsia="Calibri" w:hAnsi="Trebuchet MS"/>
                <w:color w:val="1F497D"/>
                <w14:ligatures w14:val="standardContextual"/>
              </w:rPr>
              <w:t xml:space="preserve"> </w:t>
            </w:r>
            <w:r w:rsidRPr="000879DF">
              <w:rPr>
                <w:rFonts w:ascii="Trebuchet MS" w:eastAsia="Calibri" w:hAnsi="Trebuchet MS"/>
                <w:color w:val="1F497D"/>
                <w14:ligatures w14:val="standardContextual"/>
              </w:rPr>
              <w:t xml:space="preserve">Co-financing &amp; own contribution. </w:t>
            </w:r>
            <w:proofErr w:type="gramStart"/>
            <w:r w:rsidRPr="000879DF">
              <w:rPr>
                <w:rFonts w:ascii="Trebuchet MS" w:eastAsia="Calibri" w:hAnsi="Trebuchet MS"/>
                <w:color w:val="1F497D"/>
                <w14:ligatures w14:val="standardContextual"/>
              </w:rPr>
              <w:t>Please confirm the mechanism: ERDF 80% + 18% co-financing from the state budget + 2% own contribution, applicable to RO and BG partners in Call 5?</w:t>
            </w:r>
            <w:proofErr w:type="gramEnd"/>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lastRenderedPageBreak/>
              <w:t xml:space="preserve">2. </w:t>
            </w:r>
            <w:r w:rsidRPr="000879DF">
              <w:rPr>
                <w:rFonts w:ascii="Trebuchet MS" w:eastAsia="Calibri" w:hAnsi="Trebuchet MS"/>
                <w:color w:val="1F497D"/>
                <w14:ligatures w14:val="standardContextual"/>
              </w:rPr>
              <w:t>Pre-financing / advance. Is there any pre-financing (at program or national level)? For example, advance from national co-financing – percentage, conditions, calendar and applicability for RO/BG.</w:t>
            </w:r>
          </w:p>
          <w:p w:rsidR="000C7645" w:rsidRPr="000879DF" w:rsidRDefault="000C7645" w:rsidP="00203A62">
            <w:pPr>
              <w:pStyle w:val="ListParagraph"/>
              <w:spacing w:line="240" w:lineRule="auto"/>
              <w:ind w:left="0"/>
              <w:jc w:val="both"/>
              <w:rPr>
                <w:rFonts w:ascii="Trebuchet MS" w:eastAsia="Calibri" w:hAnsi="Trebuchet MS"/>
                <w:color w:val="1F497D"/>
                <w14:ligatures w14:val="standardContextual"/>
              </w:rPr>
            </w:pPr>
          </w:p>
          <w:p w:rsidR="00203A62" w:rsidRPr="000879DF" w:rsidRDefault="00203A62" w:rsidP="00203A62">
            <w:pPr>
              <w:spacing w:line="240" w:lineRule="auto"/>
              <w:jc w:val="both"/>
              <w:rPr>
                <w:rFonts w:ascii="Trebuchet MS" w:eastAsia="Calibri" w:hAnsi="Trebuchet MS"/>
                <w:color w:val="1F497D"/>
                <w:sz w:val="22"/>
                <w:szCs w:val="22"/>
                <w14:ligatures w14:val="standardContextual"/>
              </w:rPr>
            </w:pPr>
            <w:r w:rsidRPr="000879DF">
              <w:rPr>
                <w:rFonts w:ascii="Trebuchet MS" w:eastAsia="Calibri" w:hAnsi="Trebuchet MS"/>
                <w:color w:val="1F497D"/>
                <w:sz w:val="22"/>
                <w:szCs w:val="22"/>
                <w14:ligatures w14:val="standardContextual"/>
              </w:rPr>
              <w:t>3. Lump-sum preparation/closure. Please confirm regarding €14,000 (preparation, after signature) and €6,500 (closure, upon predefined outputs), plus an indication of the timing of payments upon fulfilment of conditions.</w:t>
            </w:r>
          </w:p>
          <w:p w:rsidR="00904AFA" w:rsidRPr="000879DF" w:rsidRDefault="00904AFA" w:rsidP="00203A62">
            <w:pPr>
              <w:spacing w:line="240" w:lineRule="auto"/>
              <w:jc w:val="both"/>
              <w:rPr>
                <w:rFonts w:ascii="Trebuchet MS" w:hAnsi="Trebuchet MS"/>
                <w:color w:val="244061" w:themeColor="accent1" w:themeShade="80"/>
                <w:sz w:val="22"/>
                <w:szCs w:val="22"/>
                <w:lang w:val="en-GB"/>
              </w:rPr>
            </w:pPr>
          </w:p>
          <w:p w:rsidR="007B0785" w:rsidRPr="000879DF" w:rsidRDefault="007B0785" w:rsidP="00203A62">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lastRenderedPageBreak/>
              <w:t>Please find below the requested clarifications, in line with the latest provisions of the Applicants Guide and the Project Implementation Manual (Revisio</w:t>
            </w:r>
            <w:r w:rsidR="000879DF">
              <w:rPr>
                <w:rFonts w:ascii="Trebuchet MS" w:hAnsi="Trebuchet MS"/>
                <w:color w:val="244061" w:themeColor="accent1" w:themeShade="80"/>
                <w:sz w:val="22"/>
                <w:szCs w:val="22"/>
              </w:rPr>
              <w:t xml:space="preserve">n 1 – August 2025) which </w:t>
            </w:r>
            <w:proofErr w:type="gramStart"/>
            <w:r w:rsidR="000879DF">
              <w:rPr>
                <w:rFonts w:ascii="Trebuchet MS" w:hAnsi="Trebuchet MS"/>
                <w:color w:val="244061" w:themeColor="accent1" w:themeShade="80"/>
                <w:sz w:val="22"/>
                <w:szCs w:val="22"/>
              </w:rPr>
              <w:t xml:space="preserve">can be </w:t>
            </w:r>
            <w:r w:rsidRPr="00203A62">
              <w:rPr>
                <w:rFonts w:ascii="Trebuchet MS" w:hAnsi="Trebuchet MS"/>
                <w:color w:val="244061" w:themeColor="accent1" w:themeShade="80"/>
                <w:sz w:val="22"/>
                <w:szCs w:val="22"/>
              </w:rPr>
              <w:t>consulted</w:t>
            </w:r>
            <w:proofErr w:type="gramEnd"/>
            <w:r w:rsidRPr="00203A62">
              <w:rPr>
                <w:rFonts w:ascii="Trebuchet MS" w:hAnsi="Trebuchet MS"/>
                <w:color w:val="244061" w:themeColor="accent1" w:themeShade="80"/>
                <w:sz w:val="22"/>
                <w:szCs w:val="22"/>
              </w:rPr>
              <w:t xml:space="preserve"> at the following link: </w:t>
            </w:r>
            <w:hyperlink r:id="rId9" w:history="1">
              <w:r w:rsidRPr="00203A62">
                <w:rPr>
                  <w:rStyle w:val="Hyperlink"/>
                  <w:rFonts w:ascii="Trebuchet MS" w:hAnsi="Trebuchet MS"/>
                  <w:sz w:val="22"/>
                  <w:szCs w:val="22"/>
                </w:rPr>
                <w:t>https://interregviarobg.eu/en/project-implementation-manual</w:t>
              </w:r>
            </w:hyperlink>
            <w:r w:rsidRPr="00203A62">
              <w:rPr>
                <w:rFonts w:ascii="Trebuchet MS" w:hAnsi="Trebuchet MS"/>
                <w:color w:val="244061" w:themeColor="accent1" w:themeShade="80"/>
                <w:sz w:val="22"/>
                <w:szCs w:val="22"/>
              </w:rPr>
              <w:t xml:space="preserve">. </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lastRenderedPageBreak/>
              <w:t xml:space="preserve">1. In relation with Co-financing and Own Contribution, we confirm the financing structure applicable for partners from both Romania and Bulgaria, according to the </w:t>
            </w:r>
            <w:proofErr w:type="spellStart"/>
            <w:r w:rsidRPr="00203A62">
              <w:rPr>
                <w:rFonts w:ascii="Trebuchet MS" w:hAnsi="Trebuchet MS"/>
                <w:color w:val="244061" w:themeColor="accent1" w:themeShade="80"/>
                <w:sz w:val="22"/>
                <w:szCs w:val="22"/>
              </w:rPr>
              <w:t>Interreg</w:t>
            </w:r>
            <w:proofErr w:type="spellEnd"/>
            <w:r w:rsidRPr="00203A62">
              <w:rPr>
                <w:rFonts w:ascii="Trebuchet MS" w:hAnsi="Trebuchet MS"/>
                <w:color w:val="244061" w:themeColor="accent1" w:themeShade="80"/>
                <w:sz w:val="22"/>
                <w:szCs w:val="22"/>
              </w:rPr>
              <w:t xml:space="preserve"> VI-A Ro-</w:t>
            </w:r>
            <w:proofErr w:type="spellStart"/>
            <w:r w:rsidRPr="00203A62">
              <w:rPr>
                <w:rFonts w:ascii="Trebuchet MS" w:hAnsi="Trebuchet MS"/>
                <w:color w:val="244061" w:themeColor="accent1" w:themeShade="80"/>
                <w:sz w:val="22"/>
                <w:szCs w:val="22"/>
              </w:rPr>
              <w:t>Bg</w:t>
            </w:r>
            <w:proofErr w:type="spellEnd"/>
            <w:r w:rsidRPr="00203A62">
              <w:rPr>
                <w:rFonts w:ascii="Trebuchet MS" w:hAnsi="Trebuchet MS"/>
                <w:color w:val="244061" w:themeColor="accent1" w:themeShade="80"/>
                <w:sz w:val="22"/>
                <w:szCs w:val="22"/>
              </w:rPr>
              <w:t xml:space="preserve"> </w:t>
            </w:r>
            <w:proofErr w:type="spellStart"/>
            <w:r w:rsidRPr="00203A62">
              <w:rPr>
                <w:rFonts w:ascii="Trebuchet MS" w:hAnsi="Trebuchet MS"/>
                <w:color w:val="244061" w:themeColor="accent1" w:themeShade="80"/>
                <w:sz w:val="22"/>
                <w:szCs w:val="22"/>
              </w:rPr>
              <w:t>Programme</w:t>
            </w:r>
            <w:proofErr w:type="spellEnd"/>
            <w:r w:rsidRPr="00203A62">
              <w:rPr>
                <w:rFonts w:ascii="Trebuchet MS" w:hAnsi="Trebuchet MS"/>
                <w:color w:val="244061" w:themeColor="accent1" w:themeShade="80"/>
                <w:sz w:val="22"/>
                <w:szCs w:val="22"/>
              </w:rPr>
              <w:t xml:space="preserve"> provisions, are: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ERDF contribution: 80%</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National co-financing: 18% provided from the state budget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Own contribution: 2% covered by the project partner</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2. As regards Advance Payments/</w:t>
            </w:r>
            <w:proofErr w:type="spellStart"/>
            <w:r w:rsidRPr="00203A62">
              <w:rPr>
                <w:rFonts w:ascii="Trebuchet MS" w:hAnsi="Trebuchet MS"/>
                <w:color w:val="244061" w:themeColor="accent1" w:themeShade="80"/>
                <w:sz w:val="22"/>
                <w:szCs w:val="22"/>
              </w:rPr>
              <w:t>Prefinancing</w:t>
            </w:r>
            <w:proofErr w:type="spellEnd"/>
            <w:r w:rsidRPr="00203A62">
              <w:rPr>
                <w:rFonts w:ascii="Trebuchet MS" w:hAnsi="Trebuchet MS"/>
                <w:color w:val="244061" w:themeColor="accent1" w:themeShade="80"/>
                <w:sz w:val="22"/>
                <w:szCs w:val="22"/>
              </w:rPr>
              <w:t xml:space="preserve">, for national co-financing, advance payments </w:t>
            </w:r>
            <w:proofErr w:type="gramStart"/>
            <w:r w:rsidRPr="00203A62">
              <w:rPr>
                <w:rFonts w:ascii="Trebuchet MS" w:hAnsi="Trebuchet MS"/>
                <w:color w:val="244061" w:themeColor="accent1" w:themeShade="80"/>
                <w:sz w:val="22"/>
                <w:szCs w:val="22"/>
              </w:rPr>
              <w:t>may be granted</w:t>
            </w:r>
            <w:proofErr w:type="gramEnd"/>
            <w:r w:rsidRPr="00203A62">
              <w:rPr>
                <w:rFonts w:ascii="Trebuchet MS" w:hAnsi="Trebuchet MS"/>
                <w:color w:val="244061" w:themeColor="accent1" w:themeShade="80"/>
                <w:sz w:val="22"/>
                <w:szCs w:val="22"/>
              </w:rPr>
              <w:t xml:space="preserve"> in line with the national legislation of Romania and Bulgaria having in mind the PIM provisions mentioned at sub chapter 3.1.5. Reimbursement of the preparation costs (lump sum and real costs) and of the advance payment: </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Romania: up to 70% of national co-financing, upon request via JEMS and email notification.</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Bulgaria: up to 80% of national co-financing, under similar conditions.</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Advance payment requires signed co-financing contract and correct bank details uploaded in JEMS.</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lang w:val="en-GB"/>
              </w:rPr>
              <w:t xml:space="preserve">3. </w:t>
            </w:r>
            <w:r w:rsidRPr="00203A62">
              <w:rPr>
                <w:rFonts w:ascii="Trebuchet MS" w:hAnsi="Trebuchet MS"/>
                <w:color w:val="244061" w:themeColor="accent1" w:themeShade="80"/>
                <w:sz w:val="22"/>
                <w:szCs w:val="22"/>
              </w:rPr>
              <w:t>Lump Sums for Preparation and Closure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a) Preparation lump sum: EUR 14,000 per project, payable after signature of the subsidy contract. In this </w:t>
            </w:r>
            <w:proofErr w:type="gramStart"/>
            <w:r w:rsidRPr="00203A62">
              <w:rPr>
                <w:rFonts w:ascii="Trebuchet MS" w:hAnsi="Trebuchet MS"/>
                <w:color w:val="244061" w:themeColor="accent1" w:themeShade="80"/>
                <w:sz w:val="22"/>
                <w:szCs w:val="22"/>
              </w:rPr>
              <w:t>regard</w:t>
            </w:r>
            <w:proofErr w:type="gramEnd"/>
            <w:r w:rsidRPr="00203A62">
              <w:rPr>
                <w:rFonts w:ascii="Trebuchet MS" w:hAnsi="Trebuchet MS"/>
                <w:color w:val="244061" w:themeColor="accent1" w:themeShade="80"/>
                <w:sz w:val="22"/>
                <w:szCs w:val="22"/>
              </w:rPr>
              <w:t xml:space="preserve"> please observe the provisions foreseen in the PIM mentioned at sub chapter </w:t>
            </w:r>
            <w:hyperlink r:id="rId10" w:history="1">
              <w:r w:rsidRPr="00203A62">
                <w:rPr>
                  <w:rStyle w:val="Hyperlink"/>
                  <w:rFonts w:ascii="Trebuchet MS" w:hAnsi="Trebuchet MS"/>
                  <w:i/>
                  <w:iCs/>
                  <w:sz w:val="22"/>
                  <w:szCs w:val="22"/>
                </w:rPr>
                <w:t>3.1.5. Reimbursement of the preparation costs (lump sum and real costs) and of the advance payment</w:t>
              </w:r>
            </w:hyperlink>
            <w:r w:rsidRPr="00203A62">
              <w:rPr>
                <w:rFonts w:ascii="Trebuchet MS" w:hAnsi="Trebuchet M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 Closure lump sum: EUR 6,500 per project, payable after acceptance of the final report and confirmation that all outputs and results </w:t>
            </w:r>
            <w:proofErr w:type="gramStart"/>
            <w:r w:rsidRPr="00203A62">
              <w:rPr>
                <w:rFonts w:ascii="Trebuchet MS" w:hAnsi="Trebuchet MS"/>
                <w:color w:val="244061" w:themeColor="accent1" w:themeShade="80"/>
                <w:sz w:val="22"/>
                <w:szCs w:val="22"/>
              </w:rPr>
              <w:t>have been delivered</w:t>
            </w:r>
            <w:proofErr w:type="gramEnd"/>
            <w:r w:rsidRPr="00203A62">
              <w:rPr>
                <w:rFonts w:ascii="Trebuchet MS" w:hAnsi="Trebuchet MS"/>
                <w:color w:val="244061" w:themeColor="accent1" w:themeShade="80"/>
                <w:sz w:val="22"/>
                <w:szCs w:val="22"/>
              </w:rPr>
              <w:t xml:space="preserve">. For details, please </w:t>
            </w:r>
            <w:r w:rsidRPr="00203A62">
              <w:rPr>
                <w:rFonts w:ascii="Trebuchet MS" w:hAnsi="Trebuchet MS"/>
                <w:color w:val="244061" w:themeColor="accent1" w:themeShade="80"/>
                <w:sz w:val="22"/>
                <w:szCs w:val="22"/>
              </w:rPr>
              <w:lastRenderedPageBreak/>
              <w:t xml:space="preserve">refer to </w:t>
            </w:r>
            <w:r w:rsidRPr="00203A62">
              <w:rPr>
                <w:rFonts w:ascii="Trebuchet MS" w:hAnsi="Trebuchet MS"/>
                <w:color w:val="244061" w:themeColor="accent1" w:themeShade="80"/>
                <w:sz w:val="22"/>
                <w:szCs w:val="22"/>
                <w:lang w:val="en-GB"/>
              </w:rPr>
              <w:t xml:space="preserve">the Project Implementation Manual, Rev.1, </w:t>
            </w:r>
            <w:proofErr w:type="gramStart"/>
            <w:r w:rsidRPr="00203A62">
              <w:rPr>
                <w:rFonts w:ascii="Trebuchet MS" w:hAnsi="Trebuchet MS"/>
                <w:color w:val="244061" w:themeColor="accent1" w:themeShade="80"/>
                <w:sz w:val="22"/>
                <w:szCs w:val="22"/>
                <w:lang w:val="en-GB"/>
              </w:rPr>
              <w:t xml:space="preserve">sub-chapter </w:t>
            </w:r>
            <w:hyperlink r:id="rId11" w:history="1">
              <w:r w:rsidRPr="00203A62">
                <w:rPr>
                  <w:rStyle w:val="Hyperlink"/>
                  <w:rFonts w:ascii="Trebuchet MS" w:hAnsi="Trebuchet MS"/>
                  <w:i/>
                  <w:iCs/>
                  <w:sz w:val="22"/>
                  <w:szCs w:val="22"/>
                </w:rPr>
                <w:t>5.1</w:t>
              </w:r>
              <w:proofErr w:type="gramEnd"/>
              <w:r w:rsidRPr="00203A62">
                <w:rPr>
                  <w:rStyle w:val="Hyperlink"/>
                  <w:rFonts w:ascii="Trebuchet MS" w:hAnsi="Trebuchet MS"/>
                  <w:i/>
                  <w:iCs/>
                  <w:sz w:val="22"/>
                  <w:szCs w:val="22"/>
                </w:rPr>
                <w:t xml:space="preserve"> Final report</w:t>
              </w:r>
            </w:hyperlink>
            <w:r w:rsidRPr="00203A62">
              <w:rPr>
                <w:rFonts w:ascii="Trebuchet MS" w:hAnsi="Trebuchet MS"/>
                <w:i/>
                <w:iC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Both lump sums are fixed amounts, independent of the real cost, are not part of the basis for flat-rate calculations and can be split between the partners. Please note that no verification of the supporting documents for actual costs is required to demonstrate that the </w:t>
            </w:r>
            <w:proofErr w:type="gramStart"/>
            <w:r w:rsidRPr="00203A62">
              <w:rPr>
                <w:rFonts w:ascii="Trebuchet MS" w:hAnsi="Trebuchet MS"/>
                <w:color w:val="244061" w:themeColor="accent1" w:themeShade="80"/>
                <w:sz w:val="22"/>
                <w:szCs w:val="22"/>
              </w:rPr>
              <w:t>l</w:t>
            </w:r>
            <w:r>
              <w:rPr>
                <w:rFonts w:ascii="Trebuchet MS" w:hAnsi="Trebuchet MS"/>
                <w:color w:val="244061" w:themeColor="accent1" w:themeShade="80"/>
                <w:sz w:val="22"/>
                <w:szCs w:val="22"/>
              </w:rPr>
              <w:t>ump sum amount was spent by the</w:t>
            </w:r>
            <w:r w:rsidRPr="00203A62">
              <w:rPr>
                <w:rFonts w:ascii="Trebuchet MS" w:hAnsi="Trebuchet MS"/>
                <w:color w:val="244061" w:themeColor="accent1" w:themeShade="80"/>
                <w:sz w:val="22"/>
                <w:szCs w:val="22"/>
              </w:rPr>
              <w:t> applicant(s) on the predefined cost categories or activities</w:t>
            </w:r>
            <w:proofErr w:type="gramEnd"/>
            <w:r w:rsidRPr="00203A62">
              <w:rPr>
                <w:rFonts w:ascii="Trebuchet MS" w:hAnsi="Trebuchet MS"/>
                <w:color w:val="244061" w:themeColor="accent1" w:themeShade="80"/>
                <w:sz w:val="22"/>
                <w:szCs w:val="22"/>
              </w:rPr>
              <w:t>.</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7B0785" w:rsidRPr="00203A62" w:rsidRDefault="007B0785" w:rsidP="00203A62">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eastAsia="Calibri" w:hAnsi="Trebuchet MS"/>
                <w:color w:val="244061" w:themeColor="accent1" w:themeShade="80"/>
                <w:sz w:val="22"/>
                <w:szCs w:val="22"/>
                <w:lang w:val="en-GB"/>
                <w14:ligatures w14:val="standardContextual"/>
              </w:rPr>
              <w:t>1</w:t>
            </w:r>
            <w:r w:rsidRPr="000879DF">
              <w:rPr>
                <w:rFonts w:ascii="Trebuchet MS" w:hAnsi="Trebuchet MS"/>
                <w:color w:val="244061" w:themeColor="accent1" w:themeShade="80"/>
                <w:sz w:val="22"/>
                <w:szCs w:val="22"/>
              </w:rPr>
              <w:t xml:space="preserve">. </w:t>
            </w:r>
            <w:r w:rsidRPr="000879DF">
              <w:rPr>
                <w:rFonts w:ascii="Trebuchet MS" w:hAnsi="Trebuchet MS"/>
                <w:color w:val="244061" w:themeColor="accent1" w:themeShade="80"/>
                <w:sz w:val="22"/>
                <w:szCs w:val="22"/>
              </w:rPr>
              <w:t>Reimbursements &amp; first payment. What is the usual timetable until the first ERDF reimbursement from the start of implementation? Is there an option for more frequent reporting to reduce cash-flow pressure?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2. National co-financing contract. What are the practical steps and usual deadlines for signature in RO/BG after the decision of the Monitoring Committee?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2F3F16" w:rsidRPr="000879DF" w:rsidRDefault="002F3F16" w:rsidP="000879DF">
            <w:pPr>
              <w:spacing w:line="240" w:lineRule="auto"/>
              <w:jc w:val="both"/>
              <w:rPr>
                <w:rFonts w:ascii="Trebuchet MS" w:hAnsi="Trebuchet MS"/>
                <w:sz w:val="22"/>
                <w:szCs w:val="22"/>
                <w:lang w:val="en-GB"/>
              </w:rPr>
            </w:pPr>
          </w:p>
          <w:p w:rsidR="00A705CD" w:rsidRPr="000879DF" w:rsidRDefault="00A705CD" w:rsidP="000879DF">
            <w:pPr>
              <w:tabs>
                <w:tab w:val="left" w:pos="1200"/>
              </w:tabs>
              <w:spacing w:line="240" w:lineRule="auto"/>
              <w:jc w:val="both"/>
              <w:rPr>
                <w:rFonts w:ascii="Trebuchet MS" w:hAnsi="Trebuchet MS"/>
                <w:sz w:val="22"/>
                <w:szCs w:val="22"/>
                <w:lang w:val="en-GB"/>
              </w:rPr>
            </w:pPr>
          </w:p>
        </w:tc>
        <w:tc>
          <w:tcPr>
            <w:tcW w:w="639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1. </w:t>
            </w:r>
            <w:r w:rsidRPr="000879DF">
              <w:rPr>
                <w:rFonts w:ascii="Trebuchet MS" w:hAnsi="Trebuchet MS"/>
                <w:color w:val="244061" w:themeColor="accent1" w:themeShade="80"/>
                <w:sz w:val="22"/>
                <w:szCs w:val="22"/>
              </w:rPr>
              <w:t xml:space="preserve">According to the Programme rules, the Lead Partner (LP) is required every four months to create and submit through the electronic system, a project report to the Joint Secretariat (JS). This report must cover both the financial and physical progress of the project and be based on validated partner reports submitted in </w:t>
            </w:r>
            <w:proofErr w:type="spellStart"/>
            <w:r w:rsidRPr="000879DF">
              <w:rPr>
                <w:rFonts w:ascii="Trebuchet MS" w:hAnsi="Trebuchet MS"/>
                <w:color w:val="244061" w:themeColor="accent1" w:themeShade="80"/>
                <w:sz w:val="22"/>
                <w:szCs w:val="22"/>
              </w:rPr>
              <w:t>Jems</w:t>
            </w:r>
            <w:proofErr w:type="spellEnd"/>
            <w:r w:rsidRPr="000879DF">
              <w:rPr>
                <w:rFonts w:ascii="Trebuchet MS" w:hAnsi="Trebuchet MS"/>
                <w:color w:val="244061" w:themeColor="accent1" w:themeShade="80"/>
                <w:sz w:val="22"/>
                <w:szCs w:val="22"/>
              </w:rPr>
              <w:t>, in line with the contractual reporting conditions and Project Implementation Manual provisions.</w:t>
            </w: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As an exception to the mandatory contractual reporting deadlines, as mentioned above, the LP may request reimbursement of expenditure from the Managing Authority (MA) at any time by submitting a project report through the electronic system. This applies to one or more partners, </w:t>
            </w:r>
            <w:proofErr w:type="gramStart"/>
            <w:r w:rsidRPr="000879DF">
              <w:rPr>
                <w:rFonts w:ascii="Trebuchet MS" w:hAnsi="Trebuchet MS"/>
                <w:color w:val="244061" w:themeColor="accent1" w:themeShade="80"/>
                <w:sz w:val="22"/>
                <w:szCs w:val="22"/>
              </w:rPr>
              <w:t>provided that</w:t>
            </w:r>
            <w:proofErr w:type="gramEnd"/>
            <w:r w:rsidRPr="000879DF">
              <w:rPr>
                <w:rFonts w:ascii="Trebuchet MS" w:hAnsi="Trebuchet MS"/>
                <w:color w:val="244061" w:themeColor="accent1" w:themeShade="80"/>
                <w:sz w:val="22"/>
                <w:szCs w:val="22"/>
              </w:rPr>
              <w:t xml:space="preserve"> the expenditure claimed for reimbursement amounts to at least EUR 100,000 ERDF per partner.</w:t>
            </w:r>
          </w:p>
          <w:p w:rsidR="00142CF7"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lastRenderedPageBreak/>
              <w:t xml:space="preserve">For details on the indicative timeframe for reporting and payment procedures, please refer to the Project Implementation Manual, Rev.1, </w:t>
            </w:r>
            <w:proofErr w:type="gramStart"/>
            <w:r w:rsidRPr="000879DF">
              <w:rPr>
                <w:rFonts w:ascii="Trebuchet MS" w:hAnsi="Trebuchet MS"/>
                <w:color w:val="244061" w:themeColor="accent1" w:themeShade="80"/>
                <w:sz w:val="22"/>
                <w:szCs w:val="22"/>
              </w:rPr>
              <w:t>sub</w:t>
            </w:r>
            <w:proofErr w:type="gramEnd"/>
            <w:r w:rsidRPr="000879DF">
              <w:rPr>
                <w:rFonts w:ascii="Trebuchet MS" w:hAnsi="Trebuchet MS"/>
                <w:color w:val="244061" w:themeColor="accent1" w:themeShade="80"/>
                <w:sz w:val="22"/>
                <w:szCs w:val="22"/>
              </w:rPr>
              <w:t>-chapter 3.2. Reporting and payment procedures.</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2E407D" w:rsidRPr="002E407D" w:rsidRDefault="002E407D" w:rsidP="002E407D">
            <w:pPr>
              <w:spacing w:line="240" w:lineRule="auto"/>
              <w:jc w:val="both"/>
              <w:rPr>
                <w:rFonts w:ascii="Trebuchet MS" w:hAnsi="Trebuchet MS"/>
                <w:color w:val="244061" w:themeColor="accent1" w:themeShade="80"/>
              </w:rPr>
            </w:pPr>
            <w:r w:rsidRPr="002E407D">
              <w:rPr>
                <w:rFonts w:ascii="Trebuchet MS" w:hAnsi="Trebuchet MS"/>
                <w:color w:val="244061" w:themeColor="accent1" w:themeShade="80"/>
                <w:sz w:val="22"/>
                <w:szCs w:val="22"/>
              </w:rPr>
              <w:t>2.</w:t>
            </w:r>
            <w:r>
              <w:rPr>
                <w:rFonts w:ascii="Trebuchet MS" w:hAnsi="Trebuchet MS"/>
                <w:color w:val="244061" w:themeColor="accent1" w:themeShade="80"/>
              </w:rPr>
              <w:t xml:space="preserve"> </w:t>
            </w:r>
            <w:bookmarkStart w:id="0" w:name="_GoBack"/>
            <w:bookmarkEnd w:id="0"/>
            <w:r w:rsidRPr="002E407D">
              <w:rPr>
                <w:rFonts w:ascii="Trebuchet MS" w:hAnsi="Trebuchet MS"/>
                <w:color w:val="244061" w:themeColor="accent1" w:themeShade="80"/>
              </w:rPr>
              <w:t xml:space="preserve">After approval of the selection by the Monitoring Committee, projects </w:t>
            </w:r>
            <w:proofErr w:type="gramStart"/>
            <w:r w:rsidRPr="002E407D">
              <w:rPr>
                <w:rFonts w:ascii="Trebuchet MS" w:hAnsi="Trebuchet MS"/>
                <w:color w:val="244061" w:themeColor="accent1" w:themeShade="80"/>
              </w:rPr>
              <w:t>are requested</w:t>
            </w:r>
            <w:proofErr w:type="gramEnd"/>
            <w:r w:rsidRPr="002E407D">
              <w:rPr>
                <w:rFonts w:ascii="Trebuchet MS" w:hAnsi="Trebuchet MS"/>
                <w:color w:val="244061" w:themeColor="accent1" w:themeShade="80"/>
              </w:rPr>
              <w:t xml:space="preserve"> to submit a set of documents to prepare the necessary documentation for signing the subsidy and co-financing contracts. During this period, any recommendations approved by the Monitoring Committee following the assessment process (e.g. budget reductions, removal/revision of a particular activity, revision of indicators etc.) should also be reflected in </w:t>
            </w:r>
            <w:proofErr w:type="spellStart"/>
            <w:r w:rsidRPr="002E407D">
              <w:rPr>
                <w:rFonts w:ascii="Trebuchet MS" w:hAnsi="Trebuchet MS"/>
                <w:color w:val="244061" w:themeColor="accent1" w:themeShade="80"/>
              </w:rPr>
              <w:t>Jems</w:t>
            </w:r>
            <w:proofErr w:type="spellEnd"/>
            <w:r w:rsidRPr="002E407D">
              <w:rPr>
                <w:rFonts w:ascii="Trebuchet MS" w:hAnsi="Trebuchet MS"/>
                <w:color w:val="244061" w:themeColor="accent1" w:themeShade="80"/>
              </w:rPr>
              <w:t xml:space="preserve">. This phase </w:t>
            </w:r>
            <w:proofErr w:type="gramStart"/>
            <w:r w:rsidRPr="002E407D">
              <w:rPr>
                <w:rFonts w:ascii="Trebuchet MS" w:hAnsi="Trebuchet MS"/>
                <w:color w:val="244061" w:themeColor="accent1" w:themeShade="80"/>
              </w:rPr>
              <w:t>is expected</w:t>
            </w:r>
            <w:proofErr w:type="gramEnd"/>
            <w:r w:rsidRPr="002E407D">
              <w:rPr>
                <w:rFonts w:ascii="Trebuchet MS" w:hAnsi="Trebuchet MS"/>
                <w:color w:val="244061" w:themeColor="accent1" w:themeShade="80"/>
              </w:rPr>
              <w:t xml:space="preserve"> to last a maximum of two months. With regard to the National Co-financing signing process, please be informed about the provisions of the PIM mentioned at Chapter 2 Contracting, sub chapters </w:t>
            </w:r>
            <w:hyperlink r:id="rId12" w:history="1">
              <w:r w:rsidRPr="002E407D">
                <w:rPr>
                  <w:rStyle w:val="Hyperlink"/>
                  <w:rFonts w:ascii="Trebuchet MS" w:hAnsi="Trebuchet MS"/>
                  <w:sz w:val="22"/>
                  <w:szCs w:val="22"/>
                </w:rPr>
                <w:t>2.2 and 2.3</w:t>
              </w:r>
            </w:hyperlink>
            <w:r w:rsidRPr="002E407D">
              <w:rPr>
                <w:rFonts w:ascii="Trebuchet MS" w:hAnsi="Trebuchet MS"/>
                <w:color w:val="244061" w:themeColor="accent1" w:themeShade="80"/>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Co-financing contracts will be signed as follows:</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Romanian Partners – with MA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Bulgarian </w:t>
            </w:r>
            <w:proofErr w:type="gramStart"/>
            <w:r w:rsidRPr="002E407D">
              <w:rPr>
                <w:rFonts w:ascii="Trebuchet MS" w:hAnsi="Trebuchet MS"/>
                <w:color w:val="244061" w:themeColor="accent1" w:themeShade="80"/>
                <w:sz w:val="22"/>
                <w:szCs w:val="22"/>
              </w:rPr>
              <w:t>Partners</w:t>
            </w:r>
            <w:proofErr w:type="gramEnd"/>
            <w:r w:rsidRPr="002E407D">
              <w:rPr>
                <w:rFonts w:ascii="Trebuchet MS" w:hAnsi="Trebuchet MS"/>
                <w:color w:val="244061" w:themeColor="accent1" w:themeShade="80"/>
                <w:sz w:val="22"/>
                <w:szCs w:val="22"/>
              </w:rPr>
              <w:t xml:space="preserve"> – with NA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Templates and procedures </w:t>
            </w:r>
            <w:proofErr w:type="gramStart"/>
            <w:r w:rsidRPr="002E407D">
              <w:rPr>
                <w:rFonts w:ascii="Trebuchet MS" w:hAnsi="Trebuchet MS"/>
                <w:color w:val="244061" w:themeColor="accent1" w:themeShade="80"/>
                <w:sz w:val="22"/>
                <w:szCs w:val="22"/>
              </w:rPr>
              <w:t>can be consulted</w:t>
            </w:r>
            <w:proofErr w:type="gramEnd"/>
            <w:r w:rsidRPr="002E407D">
              <w:rPr>
                <w:rFonts w:ascii="Trebuchet MS" w:hAnsi="Trebuchet MS"/>
                <w:color w:val="244061" w:themeColor="accent1" w:themeShade="80"/>
                <w:sz w:val="22"/>
                <w:szCs w:val="22"/>
              </w:rPr>
              <w:t xml:space="preserve"> at the following link: </w:t>
            </w:r>
            <w:hyperlink r:id="rId13" w:history="1">
              <w:r w:rsidRPr="002E407D">
                <w:rPr>
                  <w:rStyle w:val="Hyperlink"/>
                  <w:rFonts w:ascii="Trebuchet MS" w:hAnsi="Trebuchet MS"/>
                  <w:sz w:val="22"/>
                  <w:szCs w:val="22"/>
                </w:rPr>
                <w:t>https://interregviarobg.eu/en/templates</w:t>
              </w:r>
            </w:hyperlink>
            <w:r w:rsidRPr="002E407D">
              <w:rPr>
                <w:rFonts w:ascii="Trebuchet MS" w:hAnsi="Trebuchet MS"/>
                <w:color w:val="244061" w:themeColor="accent1" w:themeShade="80"/>
                <w:sz w:val="22"/>
                <w:szCs w:val="22"/>
              </w:rPr>
              <w:t>.    </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A705CD" w:rsidRPr="000879DF" w:rsidRDefault="00142CF7" w:rsidP="000879DF">
            <w:pPr>
              <w:tabs>
                <w:tab w:val="left" w:pos="1320"/>
              </w:tabs>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14"/>
      <w:footerReference w:type="default" r:id="rId15"/>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FF" w:rsidRDefault="006808FF" w:rsidP="00E51335">
      <w:pPr>
        <w:spacing w:after="0" w:line="240" w:lineRule="auto"/>
      </w:pPr>
      <w:r>
        <w:separator/>
      </w:r>
    </w:p>
  </w:endnote>
  <w:endnote w:type="continuationSeparator" w:id="0">
    <w:p w:rsidR="006808FF" w:rsidRDefault="006808FF"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2E407D">
              <w:rPr>
                <w:rFonts w:ascii="Trebuchet MS" w:hAnsi="Trebuchet MS"/>
                <w:bCs/>
                <w:noProof/>
                <w:sz w:val="18"/>
                <w:szCs w:val="18"/>
              </w:rPr>
              <w:t>12</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2E407D">
              <w:rPr>
                <w:rFonts w:ascii="Trebuchet MS" w:hAnsi="Trebuchet MS"/>
                <w:bCs/>
                <w:noProof/>
                <w:sz w:val="18"/>
                <w:szCs w:val="18"/>
              </w:rPr>
              <w:t>12</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FF" w:rsidRDefault="006808FF" w:rsidP="00E51335">
      <w:pPr>
        <w:spacing w:after="0" w:line="240" w:lineRule="auto"/>
      </w:pPr>
      <w:r>
        <w:separator/>
      </w:r>
    </w:p>
  </w:footnote>
  <w:footnote w:type="continuationSeparator" w:id="0">
    <w:p w:rsidR="006808FF" w:rsidRDefault="006808FF"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203A62">
      <w:rPr>
        <w:rFonts w:asciiTheme="minorHAnsi" w:hAnsiTheme="minorHAnsi" w:cstheme="minorBidi"/>
        <w:b/>
        <w:i/>
        <w:color w:val="FF0000"/>
        <w:sz w:val="20"/>
        <w:szCs w:val="20"/>
      </w:rPr>
      <w:t>09</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203A62">
      <w:rPr>
        <w:rFonts w:asciiTheme="minorHAnsi" w:hAnsiTheme="minorHAnsi" w:cstheme="minorBidi"/>
        <w:b/>
        <w:i/>
        <w:color w:val="FF0000"/>
        <w:sz w:val="20"/>
        <w:szCs w:val="20"/>
      </w:rPr>
      <w:t>September</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AD1"/>
    <w:multiLevelType w:val="hybridMultilevel"/>
    <w:tmpl w:val="2FB207F8"/>
    <w:lvl w:ilvl="0" w:tplc="F0300EF0">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1"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8754BC"/>
    <w:multiLevelType w:val="hybridMultilevel"/>
    <w:tmpl w:val="688E8786"/>
    <w:lvl w:ilvl="0" w:tplc="972E46AE">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5611FB"/>
    <w:multiLevelType w:val="hybridMultilevel"/>
    <w:tmpl w:val="1F7E71CA"/>
    <w:lvl w:ilvl="0" w:tplc="58E84DA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3"/>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lvlOverride w:ilvl="0"/>
    <w:lvlOverride w:ilvl="1"/>
    <w:lvlOverride w:ilvl="2"/>
    <w:lvlOverride w:ilvl="3"/>
    <w:lvlOverride w:ilvl="4"/>
    <w:lvlOverride w:ilvl="5"/>
    <w:lvlOverride w:ilvl="6"/>
    <w:lvlOverride w:ilvl="7"/>
    <w:lvlOverride w:ilvl="8"/>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879DF"/>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645"/>
    <w:rsid w:val="000C7CFA"/>
    <w:rsid w:val="000D0169"/>
    <w:rsid w:val="000D0C1A"/>
    <w:rsid w:val="000D1484"/>
    <w:rsid w:val="000D2E9F"/>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7F0"/>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3A62"/>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7D"/>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5C1"/>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66F69"/>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08FF"/>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3B61"/>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1993"/>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CC98"/>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0153872">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022553">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273388">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441811">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08929136">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2797441">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3484696">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hyperlink" Target="https://interregviarobg.eu/en/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viarobg.eu/assets/2025/07/pim-interreg-vi-a-robg-rev1-si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viarobg.eu/assets/2025/07/pim-interreg-vi-a-robg-rev1-sit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regviarobg.eu/assets/2025/07/pim-interreg-vi-a-robg-rev1-site.pdf" TargetMode="External"/><Relationship Id="rId4" Type="http://schemas.openxmlformats.org/officeDocument/2006/relationships/settings" Target="settings.xml"/><Relationship Id="rId9" Type="http://schemas.openxmlformats.org/officeDocument/2006/relationships/hyperlink" Target="https://interregviarobg.eu/en/project-implementation-manu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3AD3-C6A2-463A-A194-919BBEC8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20</cp:revision>
  <cp:lastPrinted>2023-09-06T08:53:00Z</cp:lastPrinted>
  <dcterms:created xsi:type="dcterms:W3CDTF">2025-05-22T12:10:00Z</dcterms:created>
  <dcterms:modified xsi:type="dcterms:W3CDTF">2025-09-09T09:48:00Z</dcterms:modified>
</cp:coreProperties>
</file>