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XSpec="center" w:tblpY="3391"/>
        <w:tblW w:w="14667" w:type="dxa"/>
        <w:tblLayout w:type="fixed"/>
        <w:tblLook w:val="04A0" w:firstRow="1" w:lastRow="0" w:firstColumn="1" w:lastColumn="0" w:noHBand="0" w:noVBand="1"/>
      </w:tblPr>
      <w:tblGrid>
        <w:gridCol w:w="625"/>
        <w:gridCol w:w="1800"/>
        <w:gridCol w:w="6570"/>
        <w:gridCol w:w="2552"/>
        <w:gridCol w:w="3120"/>
      </w:tblGrid>
      <w:tr w:rsidR="009614D3" w:rsidRPr="009614D3" w14:paraId="6416970E" w14:textId="77777777" w:rsidTr="00E53BEF">
        <w:trPr>
          <w:trHeight w:val="262"/>
        </w:trPr>
        <w:tc>
          <w:tcPr>
            <w:tcW w:w="625" w:type="dxa"/>
            <w:shd w:val="clear" w:color="auto" w:fill="auto"/>
          </w:tcPr>
          <w:p w14:paraId="7D4E1D1C" w14:textId="116247B1" w:rsidR="00F64576" w:rsidRPr="009614D3" w:rsidRDefault="00F64576" w:rsidP="004D64FC">
            <w:pPr>
              <w:jc w:val="both"/>
              <w:rPr>
                <w:rFonts w:ascii="Trebuchet MS" w:hAnsi="Trebuchet MS"/>
                <w:b/>
                <w:color w:val="1F4E79" w:themeColor="accent1" w:themeShade="80"/>
              </w:rPr>
            </w:pPr>
            <w:bookmarkStart w:id="0" w:name="_GoBack"/>
            <w:bookmarkEnd w:id="0"/>
            <w:r w:rsidRPr="009614D3">
              <w:rPr>
                <w:rFonts w:ascii="Trebuchet MS" w:hAnsi="Trebuchet MS"/>
                <w:b/>
                <w:color w:val="1F4E79" w:themeColor="accent1" w:themeShade="80"/>
              </w:rPr>
              <w:t>No.</w:t>
            </w:r>
          </w:p>
        </w:tc>
        <w:tc>
          <w:tcPr>
            <w:tcW w:w="1800" w:type="dxa"/>
          </w:tcPr>
          <w:p w14:paraId="38BFC03F" w14:textId="77777777" w:rsidR="00F64576" w:rsidRPr="009614D3" w:rsidRDefault="00F64576" w:rsidP="004D64FC">
            <w:pPr>
              <w:jc w:val="both"/>
              <w:rPr>
                <w:rFonts w:ascii="Trebuchet MS" w:hAnsi="Trebuchet MS"/>
                <w:b/>
                <w:color w:val="1F4E79" w:themeColor="accent1" w:themeShade="80"/>
              </w:rPr>
            </w:pPr>
            <w:r w:rsidRPr="009614D3">
              <w:rPr>
                <w:rFonts w:ascii="Trebuchet MS" w:hAnsi="Trebuchet MS"/>
                <w:b/>
                <w:color w:val="1F4E79" w:themeColor="accent1" w:themeShade="80"/>
              </w:rPr>
              <w:t>Institution</w:t>
            </w:r>
          </w:p>
        </w:tc>
        <w:tc>
          <w:tcPr>
            <w:tcW w:w="6570" w:type="dxa"/>
          </w:tcPr>
          <w:p w14:paraId="2F3EFB24" w14:textId="77777777" w:rsidR="00F64576" w:rsidRPr="009614D3" w:rsidRDefault="00F64576" w:rsidP="004D64FC">
            <w:pPr>
              <w:jc w:val="both"/>
              <w:rPr>
                <w:rFonts w:ascii="Trebuchet MS" w:hAnsi="Trebuchet MS"/>
                <w:b/>
                <w:color w:val="1F4E79" w:themeColor="accent1" w:themeShade="80"/>
              </w:rPr>
            </w:pPr>
            <w:r w:rsidRPr="009614D3">
              <w:rPr>
                <w:rFonts w:ascii="Trebuchet MS" w:hAnsi="Trebuchet MS"/>
                <w:b/>
                <w:color w:val="1F4E79" w:themeColor="accent1" w:themeShade="80"/>
              </w:rPr>
              <w:t>Proposals as received</w:t>
            </w:r>
          </w:p>
        </w:tc>
        <w:tc>
          <w:tcPr>
            <w:tcW w:w="2552" w:type="dxa"/>
          </w:tcPr>
          <w:p w14:paraId="1E356E25" w14:textId="77777777" w:rsidR="00F64576" w:rsidRPr="009614D3" w:rsidRDefault="00F64576" w:rsidP="004D64FC">
            <w:pPr>
              <w:jc w:val="both"/>
              <w:rPr>
                <w:rFonts w:ascii="Trebuchet MS" w:hAnsi="Trebuchet MS"/>
                <w:b/>
                <w:color w:val="1F4E79" w:themeColor="accent1" w:themeShade="80"/>
              </w:rPr>
            </w:pPr>
            <w:r w:rsidRPr="009614D3">
              <w:rPr>
                <w:rFonts w:ascii="Trebuchet MS" w:hAnsi="Trebuchet MS"/>
                <w:b/>
                <w:color w:val="1F4E79" w:themeColor="accent1" w:themeShade="80"/>
              </w:rPr>
              <w:t>IP structures opinion</w:t>
            </w:r>
          </w:p>
        </w:tc>
        <w:tc>
          <w:tcPr>
            <w:tcW w:w="3120" w:type="dxa"/>
          </w:tcPr>
          <w:p w14:paraId="02CF41A9" w14:textId="77777777" w:rsidR="00F64576" w:rsidRPr="009614D3" w:rsidRDefault="00504D15" w:rsidP="004D64FC">
            <w:pPr>
              <w:jc w:val="both"/>
              <w:rPr>
                <w:rFonts w:ascii="Trebuchet MS" w:hAnsi="Trebuchet MS"/>
                <w:b/>
                <w:color w:val="1F4E79" w:themeColor="accent1" w:themeShade="80"/>
              </w:rPr>
            </w:pPr>
            <w:r w:rsidRPr="009614D3">
              <w:rPr>
                <w:rFonts w:ascii="Trebuchet MS" w:hAnsi="Trebuchet MS"/>
                <w:b/>
                <w:color w:val="1F4E79" w:themeColor="accent1" w:themeShade="80"/>
              </w:rPr>
              <w:t>Updated</w:t>
            </w:r>
          </w:p>
        </w:tc>
      </w:tr>
      <w:tr w:rsidR="009614D3" w:rsidRPr="009614D3" w14:paraId="27488AA9" w14:textId="77777777" w:rsidTr="00E53BEF">
        <w:trPr>
          <w:trHeight w:val="248"/>
        </w:trPr>
        <w:tc>
          <w:tcPr>
            <w:tcW w:w="625" w:type="dxa"/>
            <w:shd w:val="clear" w:color="auto" w:fill="auto"/>
          </w:tcPr>
          <w:p w14:paraId="51ADE9CD" w14:textId="1BE5059E" w:rsidR="00F64576" w:rsidRPr="009614D3" w:rsidRDefault="0068269D" w:rsidP="004D64FC">
            <w:pPr>
              <w:jc w:val="both"/>
              <w:rPr>
                <w:rFonts w:ascii="Trebuchet MS" w:hAnsi="Trebuchet MS"/>
                <w:color w:val="1F4E79" w:themeColor="accent1" w:themeShade="80"/>
              </w:rPr>
            </w:pPr>
            <w:r>
              <w:rPr>
                <w:rFonts w:ascii="Trebuchet MS" w:hAnsi="Trebuchet MS"/>
                <w:color w:val="1F4E79" w:themeColor="accent1" w:themeShade="80"/>
              </w:rPr>
              <w:t>1.</w:t>
            </w:r>
          </w:p>
        </w:tc>
        <w:tc>
          <w:tcPr>
            <w:tcW w:w="1800" w:type="dxa"/>
          </w:tcPr>
          <w:p w14:paraId="17EF35AB" w14:textId="3B169408" w:rsidR="00F64576" w:rsidRPr="006B4975" w:rsidRDefault="00681830" w:rsidP="009935DE">
            <w:pPr>
              <w:jc w:val="both"/>
              <w:rPr>
                <w:rFonts w:ascii="Trebuchet MS" w:hAnsi="Trebuchet MS"/>
                <w:b/>
                <w:color w:val="1F4E79" w:themeColor="accent1" w:themeShade="80"/>
              </w:rPr>
            </w:pPr>
            <w:r>
              <w:rPr>
                <w:rFonts w:ascii="Trebuchet MS" w:hAnsi="Trebuchet MS"/>
                <w:color w:val="1F4E79" w:themeColor="accent1" w:themeShade="80"/>
              </w:rPr>
              <w:t xml:space="preserve">The National Administration </w:t>
            </w:r>
            <w:r w:rsidRPr="00681830">
              <w:rPr>
                <w:rFonts w:ascii="Trebuchet MS" w:hAnsi="Trebuchet MS"/>
                <w:color w:val="1F4E79" w:themeColor="accent1" w:themeShade="80"/>
              </w:rPr>
              <w:t>Romanian Waters</w:t>
            </w:r>
          </w:p>
        </w:tc>
        <w:tc>
          <w:tcPr>
            <w:tcW w:w="6570" w:type="dxa"/>
          </w:tcPr>
          <w:p w14:paraId="6CEDE618" w14:textId="440B6812" w:rsidR="00681830" w:rsidRPr="00681830" w:rsidRDefault="00681830" w:rsidP="00681830">
            <w:pPr>
              <w:jc w:val="both"/>
              <w:rPr>
                <w:rFonts w:ascii="Trebuchet MS" w:hAnsi="Trebuchet MS"/>
                <w:color w:val="1F4E79" w:themeColor="accent1" w:themeShade="80"/>
                <w:lang w:val="ro-RO"/>
              </w:rPr>
            </w:pPr>
            <w:r w:rsidRPr="00681830">
              <w:rPr>
                <w:rFonts w:ascii="Trebuchet MS" w:hAnsi="Trebuchet MS"/>
                <w:color w:val="1F4E79" w:themeColor="accent1" w:themeShade="80"/>
                <w:lang w:val="ro-RO"/>
              </w:rPr>
              <w:t>Eu as propune următoarele modificări</w:t>
            </w:r>
          </w:p>
          <w:p w14:paraId="7DA10D84" w14:textId="1181843A" w:rsidR="00681830" w:rsidRPr="00681830" w:rsidRDefault="00681830" w:rsidP="00681830">
            <w:pPr>
              <w:spacing w:before="120"/>
              <w:jc w:val="both"/>
              <w:rPr>
                <w:rFonts w:ascii="Trebuchet MS" w:hAnsi="Trebuchet MS"/>
                <w:color w:val="1F4E79" w:themeColor="accent1" w:themeShade="80"/>
                <w:lang w:val="ro-RO"/>
              </w:rPr>
            </w:pPr>
            <w:r w:rsidRPr="00681830">
              <w:rPr>
                <w:rFonts w:ascii="Trebuchet MS" w:hAnsi="Trebuchet MS"/>
                <w:color w:val="1F4E79" w:themeColor="accent1" w:themeShade="80"/>
                <w:lang w:val="ro-RO"/>
              </w:rPr>
              <w:t>1. mărirea numărului maxim de parteneri la 6</w:t>
            </w:r>
          </w:p>
          <w:p w14:paraId="26908940" w14:textId="11F618D9" w:rsidR="00681830" w:rsidRPr="00681830" w:rsidRDefault="00681830" w:rsidP="00681830">
            <w:pPr>
              <w:spacing w:before="120"/>
              <w:jc w:val="both"/>
              <w:rPr>
                <w:rFonts w:ascii="Trebuchet MS" w:hAnsi="Trebuchet MS"/>
                <w:color w:val="1F4E79" w:themeColor="accent1" w:themeShade="80"/>
                <w:lang w:val="ro-RO"/>
              </w:rPr>
            </w:pPr>
            <w:r w:rsidRPr="00681830">
              <w:rPr>
                <w:rFonts w:ascii="Trebuchet MS" w:hAnsi="Trebuchet MS"/>
                <w:color w:val="1F4E79" w:themeColor="accent1" w:themeShade="80"/>
                <w:lang w:val="ro-RO"/>
              </w:rPr>
              <w:t>2. mărirea valorii maxime a proiectului la 3.000.000 EURO sau măcar 2.500.000 Euro</w:t>
            </w:r>
          </w:p>
          <w:p w14:paraId="11EE1F50" w14:textId="61204B61" w:rsidR="00681830" w:rsidRPr="00681830" w:rsidRDefault="00681830" w:rsidP="00681830">
            <w:pPr>
              <w:spacing w:before="120"/>
              <w:jc w:val="both"/>
              <w:rPr>
                <w:rFonts w:ascii="Trebuchet MS" w:hAnsi="Trebuchet MS"/>
                <w:color w:val="1F4E79" w:themeColor="accent1" w:themeShade="80"/>
                <w:lang w:val="ro-RO"/>
              </w:rPr>
            </w:pPr>
            <w:r w:rsidRPr="00681830">
              <w:rPr>
                <w:rFonts w:ascii="Trebuchet MS" w:hAnsi="Trebuchet MS"/>
                <w:color w:val="1F4E79" w:themeColor="accent1" w:themeShade="80"/>
                <w:lang w:val="ro-RO"/>
              </w:rPr>
              <w:t>3. eliminarea limitării bugetare pentru proiecte soft sau hard</w:t>
            </w:r>
          </w:p>
          <w:p w14:paraId="77340957" w14:textId="77777777" w:rsidR="00681830" w:rsidRPr="00681830" w:rsidRDefault="00681830" w:rsidP="00681830">
            <w:pPr>
              <w:spacing w:before="120"/>
              <w:jc w:val="both"/>
              <w:rPr>
                <w:rFonts w:ascii="Trebuchet MS" w:hAnsi="Trebuchet MS"/>
                <w:color w:val="1F4E79" w:themeColor="accent1" w:themeShade="80"/>
                <w:lang w:val="ro-RO"/>
              </w:rPr>
            </w:pPr>
            <w:r w:rsidRPr="00681830">
              <w:rPr>
                <w:rFonts w:ascii="Trebuchet MS" w:hAnsi="Trebuchet MS"/>
                <w:color w:val="1F4E79" w:themeColor="accent1" w:themeShade="80"/>
                <w:lang w:val="ro-RO"/>
              </w:rPr>
              <w:t>3. durata de implementare de 24 luni pentru orice tip de proiect</w:t>
            </w:r>
          </w:p>
          <w:p w14:paraId="2257412C" w14:textId="5E2A375C" w:rsidR="00681830" w:rsidRPr="00681830" w:rsidRDefault="00681830" w:rsidP="00681830">
            <w:pPr>
              <w:spacing w:before="120"/>
              <w:jc w:val="both"/>
              <w:rPr>
                <w:rFonts w:ascii="Trebuchet MS" w:hAnsi="Trebuchet MS"/>
                <w:color w:val="1F4E79" w:themeColor="accent1" w:themeShade="80"/>
                <w:lang w:val="ro-RO"/>
              </w:rPr>
            </w:pPr>
            <w:r w:rsidRPr="00681830">
              <w:rPr>
                <w:rFonts w:ascii="Trebuchet MS" w:hAnsi="Trebuchet MS"/>
                <w:color w:val="1F4E79" w:themeColor="accent1" w:themeShade="80"/>
                <w:lang w:val="ro-RO"/>
              </w:rPr>
              <w:t>4. permiterea pentru cazuri fundamentate a instalării de echipamente si înafara zonei de proiect (pe principiu de la proiecte strategice)</w:t>
            </w:r>
          </w:p>
          <w:p w14:paraId="32F4D82C" w14:textId="255C83A1" w:rsidR="00681830" w:rsidRDefault="00681830" w:rsidP="00681830">
            <w:pPr>
              <w:jc w:val="both"/>
              <w:rPr>
                <w:rFonts w:ascii="Trebuchet MS" w:hAnsi="Trebuchet MS"/>
                <w:color w:val="1F4E79" w:themeColor="accent1" w:themeShade="80"/>
              </w:rPr>
            </w:pPr>
          </w:p>
          <w:p w14:paraId="014916F2" w14:textId="77777777" w:rsidR="00681830" w:rsidRDefault="00681830" w:rsidP="00681830">
            <w:pPr>
              <w:jc w:val="both"/>
              <w:rPr>
                <w:rFonts w:ascii="Trebuchet MS" w:hAnsi="Trebuchet MS"/>
                <w:color w:val="1F4E79" w:themeColor="accent1" w:themeShade="80"/>
              </w:rPr>
            </w:pPr>
            <w:r>
              <w:rPr>
                <w:rFonts w:ascii="Trebuchet MS" w:hAnsi="Trebuchet MS"/>
                <w:color w:val="1F4E79" w:themeColor="accent1" w:themeShade="80"/>
              </w:rPr>
              <w:t>Translation in EN</w:t>
            </w:r>
          </w:p>
          <w:p w14:paraId="64AD6212" w14:textId="41BE366B" w:rsidR="00681830" w:rsidRDefault="00681830" w:rsidP="00681830">
            <w:pPr>
              <w:spacing w:before="120" w:after="120"/>
              <w:jc w:val="both"/>
              <w:rPr>
                <w:rFonts w:ascii="Trebuchet MS" w:hAnsi="Trebuchet MS"/>
                <w:color w:val="1F4E79" w:themeColor="accent1" w:themeShade="80"/>
              </w:rPr>
            </w:pPr>
            <w:r>
              <w:rPr>
                <w:rFonts w:ascii="Trebuchet MS" w:hAnsi="Trebuchet MS"/>
                <w:color w:val="1F4E79" w:themeColor="accent1" w:themeShade="80"/>
              </w:rPr>
              <w:t>Proposals:</w:t>
            </w:r>
          </w:p>
          <w:p w14:paraId="2DB36C9A" w14:textId="77777777" w:rsidR="00681830" w:rsidRPr="00681830" w:rsidRDefault="00681830" w:rsidP="00681830">
            <w:pPr>
              <w:spacing w:before="120" w:after="120"/>
              <w:jc w:val="both"/>
              <w:rPr>
                <w:rFonts w:ascii="Trebuchet MS" w:hAnsi="Trebuchet MS"/>
                <w:color w:val="1F4E79" w:themeColor="accent1" w:themeShade="80"/>
              </w:rPr>
            </w:pPr>
            <w:r w:rsidRPr="00681830">
              <w:rPr>
                <w:rFonts w:ascii="Trebuchet MS" w:hAnsi="Trebuchet MS"/>
                <w:color w:val="1F4E79" w:themeColor="accent1" w:themeShade="80"/>
              </w:rPr>
              <w:t>1. increase the maximum number of partners to 6</w:t>
            </w:r>
          </w:p>
          <w:p w14:paraId="575A115B" w14:textId="77777777" w:rsidR="00681830" w:rsidRPr="00681830" w:rsidRDefault="00681830" w:rsidP="00681830">
            <w:pPr>
              <w:spacing w:before="120" w:after="120"/>
              <w:jc w:val="both"/>
              <w:rPr>
                <w:rFonts w:ascii="Trebuchet MS" w:hAnsi="Trebuchet MS"/>
                <w:color w:val="1F4E79" w:themeColor="accent1" w:themeShade="80"/>
              </w:rPr>
            </w:pPr>
            <w:r w:rsidRPr="00681830">
              <w:rPr>
                <w:rFonts w:ascii="Trebuchet MS" w:hAnsi="Trebuchet MS"/>
                <w:color w:val="1F4E79" w:themeColor="accent1" w:themeShade="80"/>
              </w:rPr>
              <w:t>2. increasing the maximum value of the project to 3.000.000 EURO or at least 2.500.000 Euro</w:t>
            </w:r>
          </w:p>
          <w:p w14:paraId="3558BFDA" w14:textId="77777777" w:rsidR="00681830" w:rsidRPr="00681830" w:rsidRDefault="00681830" w:rsidP="00681830">
            <w:pPr>
              <w:spacing w:before="120" w:after="120"/>
              <w:jc w:val="both"/>
              <w:rPr>
                <w:rFonts w:ascii="Trebuchet MS" w:hAnsi="Trebuchet MS"/>
                <w:color w:val="1F4E79" w:themeColor="accent1" w:themeShade="80"/>
              </w:rPr>
            </w:pPr>
            <w:r w:rsidRPr="00681830">
              <w:rPr>
                <w:rFonts w:ascii="Trebuchet MS" w:hAnsi="Trebuchet MS"/>
                <w:color w:val="1F4E79" w:themeColor="accent1" w:themeShade="80"/>
              </w:rPr>
              <w:t>3. removing the budget limitation for soft or hard projects</w:t>
            </w:r>
          </w:p>
          <w:p w14:paraId="28C4E856" w14:textId="77777777" w:rsidR="00681830" w:rsidRPr="00681830" w:rsidRDefault="00681830" w:rsidP="00681830">
            <w:pPr>
              <w:spacing w:before="120" w:after="120"/>
              <w:jc w:val="both"/>
              <w:rPr>
                <w:rFonts w:ascii="Trebuchet MS" w:hAnsi="Trebuchet MS"/>
                <w:color w:val="1F4E79" w:themeColor="accent1" w:themeShade="80"/>
              </w:rPr>
            </w:pPr>
            <w:r w:rsidRPr="00681830">
              <w:rPr>
                <w:rFonts w:ascii="Trebuchet MS" w:hAnsi="Trebuchet MS"/>
                <w:color w:val="1F4E79" w:themeColor="accent1" w:themeShade="80"/>
              </w:rPr>
              <w:t>3. 24 months implementation period for any type of project</w:t>
            </w:r>
          </w:p>
          <w:p w14:paraId="4EEA8C94" w14:textId="56C7A927" w:rsidR="00F64576" w:rsidRPr="009614D3" w:rsidRDefault="00681830" w:rsidP="007604F2">
            <w:pPr>
              <w:spacing w:before="120" w:after="120"/>
              <w:jc w:val="both"/>
              <w:rPr>
                <w:rFonts w:ascii="Trebuchet MS" w:hAnsi="Trebuchet MS"/>
                <w:color w:val="1F4E79" w:themeColor="accent1" w:themeShade="80"/>
              </w:rPr>
            </w:pPr>
            <w:r w:rsidRPr="00681830">
              <w:rPr>
                <w:rFonts w:ascii="Trebuchet MS" w:hAnsi="Trebuchet MS"/>
                <w:color w:val="1F4E79" w:themeColor="accent1" w:themeShade="80"/>
              </w:rPr>
              <w:t>4.</w:t>
            </w:r>
            <w:r w:rsidR="007604F2">
              <w:rPr>
                <w:rFonts w:ascii="Trebuchet MS" w:hAnsi="Trebuchet MS"/>
                <w:color w:val="1F4E79" w:themeColor="accent1" w:themeShade="80"/>
              </w:rPr>
              <w:t xml:space="preserve"> in</w:t>
            </w:r>
            <w:r>
              <w:rPr>
                <w:rFonts w:ascii="Trebuchet MS" w:hAnsi="Trebuchet MS"/>
                <w:color w:val="1F4E79" w:themeColor="accent1" w:themeShade="80"/>
              </w:rPr>
              <w:t xml:space="preserve"> </w:t>
            </w:r>
            <w:r w:rsidR="007604F2">
              <w:rPr>
                <w:rFonts w:ascii="Trebuchet MS" w:hAnsi="Trebuchet MS"/>
                <w:color w:val="1F4E79" w:themeColor="accent1" w:themeShade="80"/>
              </w:rPr>
              <w:t xml:space="preserve">dully </w:t>
            </w:r>
            <w:r>
              <w:rPr>
                <w:rFonts w:ascii="Trebuchet MS" w:hAnsi="Trebuchet MS"/>
                <w:color w:val="1F4E79" w:themeColor="accent1" w:themeShade="80"/>
              </w:rPr>
              <w:t xml:space="preserve">justified cases, </w:t>
            </w:r>
            <w:r w:rsidRPr="00681830">
              <w:rPr>
                <w:rFonts w:ascii="Trebuchet MS" w:hAnsi="Trebuchet MS"/>
                <w:color w:val="1F4E79" w:themeColor="accent1" w:themeShade="80"/>
              </w:rPr>
              <w:t>allowing equipment installation outside the project (</w:t>
            </w:r>
            <w:proofErr w:type="spellStart"/>
            <w:r w:rsidRPr="00681830">
              <w:rPr>
                <w:rFonts w:ascii="Trebuchet MS" w:hAnsi="Trebuchet MS"/>
                <w:color w:val="1F4E79" w:themeColor="accent1" w:themeShade="80"/>
              </w:rPr>
              <w:t>Programme</w:t>
            </w:r>
            <w:proofErr w:type="spellEnd"/>
            <w:r w:rsidRPr="00681830">
              <w:rPr>
                <w:rFonts w:ascii="Trebuchet MS" w:hAnsi="Trebuchet MS"/>
                <w:color w:val="1F4E79" w:themeColor="accent1" w:themeShade="80"/>
              </w:rPr>
              <w:t>) area (</w:t>
            </w:r>
            <w:r>
              <w:rPr>
                <w:rFonts w:ascii="Trebuchet MS" w:hAnsi="Trebuchet MS"/>
                <w:color w:val="1F4E79" w:themeColor="accent1" w:themeShade="80"/>
              </w:rPr>
              <w:t>as for</w:t>
            </w:r>
            <w:r w:rsidRPr="00681830">
              <w:rPr>
                <w:rFonts w:ascii="Trebuchet MS" w:hAnsi="Trebuchet MS"/>
                <w:color w:val="1F4E79" w:themeColor="accent1" w:themeShade="80"/>
              </w:rPr>
              <w:t xml:space="preserve"> strategic projects)</w:t>
            </w:r>
          </w:p>
        </w:tc>
        <w:tc>
          <w:tcPr>
            <w:tcW w:w="2552" w:type="dxa"/>
          </w:tcPr>
          <w:p w14:paraId="171FF118" w14:textId="77777777" w:rsidR="00F64576" w:rsidRPr="009614D3" w:rsidRDefault="004D64FC" w:rsidP="004D64FC">
            <w:pPr>
              <w:jc w:val="both"/>
              <w:rPr>
                <w:rFonts w:ascii="Trebuchet MS" w:hAnsi="Trebuchet MS"/>
                <w:color w:val="1F4E79" w:themeColor="accent1" w:themeShade="80"/>
              </w:rPr>
            </w:pPr>
            <w:r>
              <w:rPr>
                <w:rFonts w:ascii="Trebuchet MS" w:hAnsi="Trebuchet MS"/>
                <w:color w:val="1F4E79" w:themeColor="accent1" w:themeShade="80"/>
              </w:rPr>
              <w:t>Not accepted</w:t>
            </w:r>
          </w:p>
        </w:tc>
        <w:tc>
          <w:tcPr>
            <w:tcW w:w="3120" w:type="dxa"/>
          </w:tcPr>
          <w:p w14:paraId="59FE2FB7" w14:textId="630A599A" w:rsidR="00F64576" w:rsidRDefault="00D01B59" w:rsidP="00D01B59">
            <w:pPr>
              <w:jc w:val="both"/>
              <w:rPr>
                <w:rFonts w:ascii="Trebuchet MS" w:hAnsi="Trebuchet MS"/>
                <w:color w:val="1F4E79" w:themeColor="accent1" w:themeShade="80"/>
              </w:rPr>
            </w:pPr>
            <w:r w:rsidRPr="00D01B59">
              <w:rPr>
                <w:rFonts w:ascii="Trebuchet MS" w:hAnsi="Trebuchet MS"/>
                <w:color w:val="1F4E79" w:themeColor="accent1" w:themeShade="80"/>
              </w:rPr>
              <w:t>Unfortunately, the threshold set for types of operations financed under the call and the project duration cannot be increased/removed, as this could have negative consequences on the reach of indicators. The thresholds for indicators have been calculated taking into consideration all these aspects. In case of an increase, the available amount allocated to this S</w:t>
            </w:r>
            <w:r>
              <w:rPr>
                <w:rFonts w:ascii="Trebuchet MS" w:hAnsi="Trebuchet MS"/>
                <w:color w:val="1F4E79" w:themeColor="accent1" w:themeShade="80"/>
              </w:rPr>
              <w:t xml:space="preserve">pecific </w:t>
            </w:r>
            <w:r w:rsidRPr="00D01B59">
              <w:rPr>
                <w:rFonts w:ascii="Trebuchet MS" w:hAnsi="Trebuchet MS"/>
                <w:color w:val="1F4E79" w:themeColor="accent1" w:themeShade="80"/>
              </w:rPr>
              <w:t>O</w:t>
            </w:r>
            <w:r>
              <w:rPr>
                <w:rFonts w:ascii="Trebuchet MS" w:hAnsi="Trebuchet MS"/>
                <w:color w:val="1F4E79" w:themeColor="accent1" w:themeShade="80"/>
              </w:rPr>
              <w:t>bjective</w:t>
            </w:r>
            <w:r w:rsidRPr="00D01B59">
              <w:rPr>
                <w:rFonts w:ascii="Trebuchet MS" w:hAnsi="Trebuchet MS"/>
                <w:color w:val="1F4E79" w:themeColor="accent1" w:themeShade="80"/>
              </w:rPr>
              <w:t xml:space="preserve"> will not be sufficient for reaching the indicators.</w:t>
            </w:r>
          </w:p>
          <w:p w14:paraId="002BDAB0" w14:textId="6C8F344E" w:rsidR="00F07195" w:rsidRDefault="00F07195" w:rsidP="00D01B59">
            <w:pPr>
              <w:jc w:val="both"/>
              <w:rPr>
                <w:rFonts w:ascii="Trebuchet MS" w:hAnsi="Trebuchet MS"/>
                <w:color w:val="1F4E79" w:themeColor="accent1" w:themeShade="80"/>
              </w:rPr>
            </w:pPr>
            <w:r>
              <w:rPr>
                <w:rFonts w:ascii="Trebuchet MS" w:hAnsi="Trebuchet MS"/>
                <w:color w:val="1F4E79" w:themeColor="accent1" w:themeShade="80"/>
              </w:rPr>
              <w:t xml:space="preserve">Also, the current financial allocation does not allow increasing the budgetary </w:t>
            </w:r>
            <w:r w:rsidR="009F136C">
              <w:rPr>
                <w:rFonts w:ascii="Trebuchet MS" w:hAnsi="Trebuchet MS"/>
                <w:color w:val="1F4E79" w:themeColor="accent1" w:themeShade="80"/>
              </w:rPr>
              <w:t>limitations.</w:t>
            </w:r>
          </w:p>
          <w:p w14:paraId="64426ADC" w14:textId="77777777" w:rsidR="00F07195" w:rsidRDefault="00F07195" w:rsidP="000634B3">
            <w:pPr>
              <w:spacing w:before="120"/>
              <w:jc w:val="both"/>
              <w:rPr>
                <w:rFonts w:ascii="Trebuchet MS" w:hAnsi="Trebuchet MS"/>
                <w:color w:val="1F4E79" w:themeColor="accent1" w:themeShade="80"/>
              </w:rPr>
            </w:pPr>
            <w:r>
              <w:rPr>
                <w:rFonts w:ascii="Trebuchet MS" w:hAnsi="Trebuchet MS"/>
                <w:color w:val="1F4E79" w:themeColor="accent1" w:themeShade="80"/>
              </w:rPr>
              <w:t xml:space="preserve">As concerns </w:t>
            </w:r>
            <w:r w:rsidRPr="00D01B59">
              <w:rPr>
                <w:rFonts w:ascii="Trebuchet MS" w:hAnsi="Trebuchet MS"/>
                <w:color w:val="1F4E79" w:themeColor="accent1" w:themeShade="80"/>
              </w:rPr>
              <w:t>the size of the partners</w:t>
            </w:r>
            <w:r>
              <w:rPr>
                <w:rFonts w:ascii="Trebuchet MS" w:hAnsi="Trebuchet MS"/>
                <w:color w:val="1F4E79" w:themeColor="accent1" w:themeShade="80"/>
              </w:rPr>
              <w:t xml:space="preserve">hip the limit </w:t>
            </w:r>
            <w:r w:rsidR="009F136C">
              <w:rPr>
                <w:rFonts w:ascii="Trebuchet MS" w:hAnsi="Trebuchet MS"/>
                <w:color w:val="1F4E79" w:themeColor="accent1" w:themeShade="80"/>
              </w:rPr>
              <w:t xml:space="preserve">was </w:t>
            </w:r>
            <w:r>
              <w:rPr>
                <w:rFonts w:ascii="Trebuchet MS" w:hAnsi="Trebuchet MS"/>
                <w:color w:val="1F4E79" w:themeColor="accent1" w:themeShade="80"/>
              </w:rPr>
              <w:t>set considering the previous experiences</w:t>
            </w:r>
            <w:r w:rsidR="009F136C">
              <w:rPr>
                <w:rFonts w:ascii="Trebuchet MS" w:hAnsi="Trebuchet MS"/>
                <w:color w:val="1F4E79" w:themeColor="accent1" w:themeShade="80"/>
              </w:rPr>
              <w:t>, while increasing the</w:t>
            </w:r>
            <w:r w:rsidR="009F136C" w:rsidRPr="009F136C">
              <w:rPr>
                <w:rFonts w:ascii="Trebuchet MS" w:hAnsi="Trebuchet MS"/>
                <w:color w:val="1F4E79" w:themeColor="accent1" w:themeShade="80"/>
              </w:rPr>
              <w:t xml:space="preserve"> partnership, the </w:t>
            </w:r>
            <w:proofErr w:type="spellStart"/>
            <w:r w:rsidR="009F136C" w:rsidRPr="009F136C">
              <w:rPr>
                <w:rFonts w:ascii="Trebuchet MS" w:hAnsi="Trebuchet MS"/>
                <w:color w:val="1F4E79" w:themeColor="accent1" w:themeShade="80"/>
              </w:rPr>
              <w:t>Programme</w:t>
            </w:r>
            <w:proofErr w:type="spellEnd"/>
            <w:r w:rsidR="009F136C" w:rsidRPr="009F136C">
              <w:rPr>
                <w:rFonts w:ascii="Trebuchet MS" w:hAnsi="Trebuchet MS"/>
                <w:color w:val="1F4E79" w:themeColor="accent1" w:themeShade="80"/>
              </w:rPr>
              <w:t xml:space="preserve"> takes a risk, the partnership may or may not work.</w:t>
            </w:r>
          </w:p>
          <w:p w14:paraId="47E7EBA9" w14:textId="698A2358" w:rsidR="009F136C" w:rsidRPr="009614D3" w:rsidRDefault="00CA4A57" w:rsidP="00513469">
            <w:pPr>
              <w:spacing w:before="120"/>
              <w:jc w:val="both"/>
              <w:rPr>
                <w:rFonts w:ascii="Trebuchet MS" w:hAnsi="Trebuchet MS"/>
                <w:color w:val="1F4E79" w:themeColor="accent1" w:themeShade="80"/>
              </w:rPr>
            </w:pPr>
            <w:r>
              <w:rPr>
                <w:rFonts w:ascii="Trebuchet MS" w:hAnsi="Trebuchet MS"/>
                <w:color w:val="1F4E79" w:themeColor="accent1" w:themeShade="80"/>
                <w:lang w:val="en-GB"/>
              </w:rPr>
              <w:lastRenderedPageBreak/>
              <w:t>Please note that</w:t>
            </w:r>
            <w:r w:rsidRPr="008453CA">
              <w:rPr>
                <w:rFonts w:ascii="Trebuchet MS" w:hAnsi="Trebuchet MS"/>
                <w:color w:val="1F4E79" w:themeColor="accent1" w:themeShade="80"/>
                <w:lang w:val="en-GB"/>
              </w:rPr>
              <w:t xml:space="preserve"> </w:t>
            </w:r>
            <w:proofErr w:type="spellStart"/>
            <w:r w:rsidRPr="008453CA">
              <w:rPr>
                <w:rFonts w:ascii="Trebuchet MS" w:hAnsi="Trebuchet MS"/>
                <w:color w:val="1F4E79" w:themeColor="accent1" w:themeShade="80"/>
                <w:lang w:val="en-GB"/>
              </w:rPr>
              <w:t>Interreg</w:t>
            </w:r>
            <w:proofErr w:type="spellEnd"/>
            <w:r w:rsidRPr="008453CA">
              <w:rPr>
                <w:rFonts w:ascii="Trebuchet MS" w:hAnsi="Trebuchet MS"/>
                <w:color w:val="1F4E79" w:themeColor="accent1" w:themeShade="80"/>
                <w:lang w:val="en-GB"/>
              </w:rPr>
              <w:t xml:space="preserve"> VI-A Romania-Bulgaria Programme supports project activities implemented in the Programme area</w:t>
            </w:r>
            <w:r>
              <w:rPr>
                <w:rFonts w:ascii="Trebuchet MS" w:hAnsi="Trebuchet MS"/>
                <w:color w:val="1F4E79" w:themeColor="accent1" w:themeShade="80"/>
                <w:lang w:val="en-GB"/>
              </w:rPr>
              <w:t>, which</w:t>
            </w:r>
            <w:r w:rsidRPr="008453CA">
              <w:rPr>
                <w:rFonts w:ascii="Trebuchet MS" w:hAnsi="Trebuchet MS"/>
                <w:color w:val="1F4E79" w:themeColor="accent1" w:themeShade="80"/>
                <w:lang w:val="en-GB"/>
              </w:rPr>
              <w:t xml:space="preserve"> have cross-</w:t>
            </w:r>
            <w:r w:rsidRPr="00721F02">
              <w:rPr>
                <w:rFonts w:ascii="Trebuchet MS" w:hAnsi="Trebuchet MS"/>
                <w:color w:val="1F4E79" w:themeColor="accent1" w:themeShade="80"/>
                <w:lang w:val="en-GB"/>
              </w:rPr>
              <w:t>border impact on the Programme area and contribute to the objectives of the Programme</w:t>
            </w:r>
            <w:r w:rsidRPr="008453CA">
              <w:rPr>
                <w:rFonts w:ascii="Trebuchet MS" w:hAnsi="Trebuchet MS"/>
                <w:color w:val="1F4E79" w:themeColor="accent1" w:themeShade="80"/>
                <w:lang w:val="en-GB"/>
              </w:rPr>
              <w:t>.</w:t>
            </w:r>
            <w:r w:rsidR="00513469">
              <w:t xml:space="preserve"> </w:t>
            </w:r>
          </w:p>
        </w:tc>
      </w:tr>
      <w:tr w:rsidR="005D1AEE" w:rsidRPr="009614D3" w14:paraId="3B0538C2" w14:textId="77777777" w:rsidTr="00E53BEF">
        <w:trPr>
          <w:trHeight w:val="248"/>
        </w:trPr>
        <w:tc>
          <w:tcPr>
            <w:tcW w:w="625" w:type="dxa"/>
            <w:shd w:val="clear" w:color="auto" w:fill="auto"/>
          </w:tcPr>
          <w:p w14:paraId="326C31B4" w14:textId="77777777" w:rsidR="005D1AEE" w:rsidRDefault="005D1AEE" w:rsidP="004D64FC">
            <w:pPr>
              <w:jc w:val="both"/>
              <w:rPr>
                <w:rFonts w:ascii="Trebuchet MS" w:hAnsi="Trebuchet MS"/>
                <w:color w:val="1F4E79" w:themeColor="accent1" w:themeShade="80"/>
              </w:rPr>
            </w:pPr>
          </w:p>
        </w:tc>
        <w:tc>
          <w:tcPr>
            <w:tcW w:w="1800" w:type="dxa"/>
          </w:tcPr>
          <w:p w14:paraId="7BBB8C25" w14:textId="2985235A" w:rsidR="005D1AEE" w:rsidRDefault="005D1AEE" w:rsidP="009935DE">
            <w:pPr>
              <w:jc w:val="both"/>
              <w:rPr>
                <w:rFonts w:ascii="Trebuchet MS" w:hAnsi="Trebuchet MS"/>
                <w:color w:val="1F4E79" w:themeColor="accent1" w:themeShade="80"/>
              </w:rPr>
            </w:pPr>
            <w:r>
              <w:rPr>
                <w:rFonts w:ascii="Trebuchet MS" w:hAnsi="Trebuchet MS"/>
                <w:color w:val="1F4E79" w:themeColor="accent1" w:themeShade="80"/>
              </w:rPr>
              <w:t>MA</w:t>
            </w:r>
          </w:p>
        </w:tc>
        <w:tc>
          <w:tcPr>
            <w:tcW w:w="6570" w:type="dxa"/>
          </w:tcPr>
          <w:p w14:paraId="190E476A" w14:textId="44E3374F" w:rsidR="00CB3F09" w:rsidRDefault="00CB3F09" w:rsidP="00CB3F09">
            <w:pPr>
              <w:jc w:val="both"/>
              <w:rPr>
                <w:rFonts w:ascii="Trebuchet MS" w:hAnsi="Trebuchet MS"/>
                <w:color w:val="1F4E79" w:themeColor="accent1" w:themeShade="80"/>
              </w:rPr>
            </w:pPr>
          </w:p>
          <w:p w14:paraId="64FC6BC3" w14:textId="3647F835" w:rsidR="005D1AEE" w:rsidRPr="00681830" w:rsidRDefault="00CB3F09" w:rsidP="002475EA">
            <w:pPr>
              <w:jc w:val="both"/>
              <w:rPr>
                <w:rFonts w:ascii="Trebuchet MS" w:hAnsi="Trebuchet MS"/>
                <w:color w:val="1F4E79" w:themeColor="accent1" w:themeShade="80"/>
                <w:lang w:val="ro-RO"/>
              </w:rPr>
            </w:pPr>
            <w:r w:rsidRPr="00CB3F09">
              <w:rPr>
                <w:rFonts w:ascii="Trebuchet MS" w:hAnsi="Trebuchet MS"/>
                <w:color w:val="1F4E79" w:themeColor="accent1" w:themeShade="80"/>
              </w:rPr>
              <w:t xml:space="preserve">The possibility to increase the budget of the call in the limits of the available </w:t>
            </w:r>
            <w:r w:rsidR="002475EA">
              <w:rPr>
                <w:rFonts w:ascii="Trebuchet MS" w:hAnsi="Trebuchet MS"/>
                <w:color w:val="1F4E79" w:themeColor="accent1" w:themeShade="80"/>
              </w:rPr>
              <w:t>funds</w:t>
            </w:r>
            <w:r>
              <w:rPr>
                <w:rFonts w:ascii="Trebuchet MS" w:hAnsi="Trebuchet MS"/>
                <w:color w:val="1F4E79" w:themeColor="accent1" w:themeShade="80"/>
              </w:rPr>
              <w:t>.</w:t>
            </w:r>
          </w:p>
        </w:tc>
        <w:tc>
          <w:tcPr>
            <w:tcW w:w="2552" w:type="dxa"/>
          </w:tcPr>
          <w:p w14:paraId="42BF0FA6" w14:textId="77777777" w:rsidR="005D1AEE" w:rsidRDefault="005D1AEE" w:rsidP="004D64FC">
            <w:pPr>
              <w:jc w:val="both"/>
              <w:rPr>
                <w:rFonts w:ascii="Trebuchet MS" w:hAnsi="Trebuchet MS"/>
                <w:color w:val="1F4E79" w:themeColor="accent1" w:themeShade="80"/>
              </w:rPr>
            </w:pPr>
          </w:p>
        </w:tc>
        <w:tc>
          <w:tcPr>
            <w:tcW w:w="3120" w:type="dxa"/>
          </w:tcPr>
          <w:p w14:paraId="36C83E27" w14:textId="718C9AC7" w:rsidR="005D1AEE" w:rsidRPr="00D01B59" w:rsidRDefault="00CB3F09" w:rsidP="00220E40">
            <w:pPr>
              <w:jc w:val="both"/>
              <w:rPr>
                <w:rFonts w:ascii="Trebuchet MS" w:hAnsi="Trebuchet MS"/>
                <w:color w:val="1F4E79" w:themeColor="accent1" w:themeShade="80"/>
              </w:rPr>
            </w:pPr>
            <w:r w:rsidRPr="00010FF7">
              <w:rPr>
                <w:rFonts w:ascii="Trebuchet MS" w:hAnsi="Trebuchet MS"/>
                <w:color w:val="1F4E79" w:themeColor="accent1" w:themeShade="80"/>
                <w:lang w:val="en-GB"/>
              </w:rPr>
              <w:t xml:space="preserve">For flexibility and in order to diminish the risk of losing funds, </w:t>
            </w:r>
            <w:r w:rsidR="00994E7D" w:rsidRPr="00010FF7">
              <w:rPr>
                <w:rFonts w:ascii="Trebuchet MS" w:hAnsi="Trebuchet MS"/>
                <w:color w:val="1F4E79" w:themeColor="accent1" w:themeShade="80"/>
                <w:lang w:val="en-GB"/>
              </w:rPr>
              <w:t xml:space="preserve">MA </w:t>
            </w:r>
            <w:r w:rsidR="00FC569A" w:rsidRPr="00010FF7">
              <w:rPr>
                <w:rFonts w:ascii="Trebuchet MS" w:hAnsi="Trebuchet MS"/>
                <w:color w:val="1F4E79" w:themeColor="accent1" w:themeShade="80"/>
                <w:lang w:val="en-GB"/>
              </w:rPr>
              <w:t>proposes to include the possibility of increasing the financial allocation of th</w:t>
            </w:r>
            <w:r w:rsidR="00220E40" w:rsidRPr="00010FF7">
              <w:rPr>
                <w:rFonts w:ascii="Trebuchet MS" w:hAnsi="Trebuchet MS"/>
                <w:color w:val="1F4E79" w:themeColor="accent1" w:themeShade="80"/>
                <w:lang w:val="en-GB"/>
              </w:rPr>
              <w:t>is</w:t>
            </w:r>
            <w:r w:rsidR="00FC569A" w:rsidRPr="00010FF7">
              <w:rPr>
                <w:rFonts w:ascii="Trebuchet MS" w:hAnsi="Trebuchet MS"/>
                <w:color w:val="1F4E79" w:themeColor="accent1" w:themeShade="80"/>
                <w:lang w:val="en-GB"/>
              </w:rPr>
              <w:t xml:space="preserve"> call, with the approval of the Monitoring Committee, if </w:t>
            </w:r>
            <w:r w:rsidR="00220E40" w:rsidRPr="00010FF7">
              <w:rPr>
                <w:rFonts w:ascii="Trebuchet MS" w:hAnsi="Trebuchet MS"/>
                <w:color w:val="1F4E79" w:themeColor="accent1" w:themeShade="80"/>
                <w:lang w:val="en-GB"/>
              </w:rPr>
              <w:t>there will be available funds.</w:t>
            </w:r>
          </w:p>
        </w:tc>
      </w:tr>
      <w:tr w:rsidR="00FE7431" w:rsidRPr="009614D3" w14:paraId="678B180D" w14:textId="77777777" w:rsidTr="00E53BEF">
        <w:trPr>
          <w:trHeight w:val="248"/>
        </w:trPr>
        <w:tc>
          <w:tcPr>
            <w:tcW w:w="625" w:type="dxa"/>
            <w:shd w:val="clear" w:color="auto" w:fill="auto"/>
          </w:tcPr>
          <w:p w14:paraId="6064B993" w14:textId="09F7149D" w:rsidR="00FE7431" w:rsidRDefault="00FE7431" w:rsidP="004D64FC">
            <w:pPr>
              <w:jc w:val="both"/>
              <w:rPr>
                <w:rFonts w:ascii="Trebuchet MS" w:hAnsi="Trebuchet MS"/>
                <w:color w:val="1F4E79" w:themeColor="accent1" w:themeShade="80"/>
              </w:rPr>
            </w:pPr>
          </w:p>
        </w:tc>
        <w:tc>
          <w:tcPr>
            <w:tcW w:w="1800" w:type="dxa"/>
          </w:tcPr>
          <w:p w14:paraId="13301665" w14:textId="0054DD04" w:rsidR="00FE7431" w:rsidRDefault="00FE7431" w:rsidP="009935DE">
            <w:pPr>
              <w:jc w:val="both"/>
              <w:rPr>
                <w:rFonts w:ascii="Trebuchet MS" w:hAnsi="Trebuchet MS"/>
                <w:color w:val="1F4E79" w:themeColor="accent1" w:themeShade="80"/>
              </w:rPr>
            </w:pPr>
            <w:r>
              <w:rPr>
                <w:rFonts w:ascii="Trebuchet MS" w:hAnsi="Trebuchet MS"/>
                <w:color w:val="1F4E79" w:themeColor="accent1" w:themeShade="80"/>
              </w:rPr>
              <w:t>MA</w:t>
            </w:r>
          </w:p>
        </w:tc>
        <w:tc>
          <w:tcPr>
            <w:tcW w:w="6570" w:type="dxa"/>
          </w:tcPr>
          <w:p w14:paraId="36D7D9F0" w14:textId="6C394EA8" w:rsidR="00FE7431" w:rsidRPr="00FE7431" w:rsidDel="00CB3F09" w:rsidRDefault="00FE7431" w:rsidP="00CB3F09">
            <w:pPr>
              <w:jc w:val="both"/>
              <w:rPr>
                <w:rFonts w:ascii="Trebuchet MS" w:hAnsi="Trebuchet MS"/>
                <w:color w:val="1F4E79" w:themeColor="accent1" w:themeShade="80"/>
              </w:rPr>
            </w:pPr>
            <w:r>
              <w:rPr>
                <w:rFonts w:ascii="Trebuchet MS" w:hAnsi="Trebuchet MS"/>
                <w:color w:val="1F4E79" w:themeColor="accent1" w:themeShade="80"/>
              </w:rPr>
              <w:t xml:space="preserve">Modifying the approach of launching two different calls in </w:t>
            </w:r>
            <w:proofErr w:type="spellStart"/>
            <w:r>
              <w:rPr>
                <w:rFonts w:ascii="Trebuchet MS" w:hAnsi="Trebuchet MS"/>
                <w:color w:val="1F4E79" w:themeColor="accent1" w:themeShade="80"/>
              </w:rPr>
              <w:t>Jems</w:t>
            </w:r>
            <w:proofErr w:type="spellEnd"/>
            <w:r>
              <w:rPr>
                <w:rFonts w:ascii="Trebuchet MS" w:hAnsi="Trebuchet MS"/>
                <w:color w:val="1F4E79" w:themeColor="accent1" w:themeShade="80"/>
              </w:rPr>
              <w:t xml:space="preserve"> depending on the type of project </w:t>
            </w:r>
          </w:p>
        </w:tc>
        <w:tc>
          <w:tcPr>
            <w:tcW w:w="2552" w:type="dxa"/>
          </w:tcPr>
          <w:p w14:paraId="11D09D57" w14:textId="77777777" w:rsidR="00FE7431" w:rsidRDefault="00FE7431" w:rsidP="004D64FC">
            <w:pPr>
              <w:jc w:val="both"/>
              <w:rPr>
                <w:rFonts w:ascii="Trebuchet MS" w:hAnsi="Trebuchet MS"/>
                <w:color w:val="1F4E79" w:themeColor="accent1" w:themeShade="80"/>
              </w:rPr>
            </w:pPr>
          </w:p>
        </w:tc>
        <w:tc>
          <w:tcPr>
            <w:tcW w:w="3120" w:type="dxa"/>
          </w:tcPr>
          <w:p w14:paraId="0B30BB38" w14:textId="5BCDABB0" w:rsidR="00FE7431" w:rsidRPr="00010FF7" w:rsidRDefault="00FE7431" w:rsidP="004567D4">
            <w:pPr>
              <w:jc w:val="both"/>
              <w:rPr>
                <w:rFonts w:ascii="Trebuchet MS" w:hAnsi="Trebuchet MS"/>
                <w:color w:val="1F4E79" w:themeColor="accent1" w:themeShade="80"/>
                <w:lang w:val="en-GB"/>
              </w:rPr>
            </w:pPr>
            <w:r>
              <w:rPr>
                <w:rFonts w:ascii="Trebuchet MS" w:hAnsi="Trebuchet MS"/>
                <w:color w:val="1F4E79" w:themeColor="accent1" w:themeShade="80"/>
                <w:lang w:val="en-GB"/>
              </w:rPr>
              <w:t>In order not to create confusion among</w:t>
            </w:r>
            <w:r w:rsidR="003671CA">
              <w:rPr>
                <w:rFonts w:ascii="Trebuchet MS" w:hAnsi="Trebuchet MS"/>
                <w:color w:val="1F4E79" w:themeColor="accent1" w:themeShade="80"/>
                <w:lang w:val="en-GB"/>
              </w:rPr>
              <w:t xml:space="preserve"> </w:t>
            </w:r>
            <w:r w:rsidR="006F23E6">
              <w:rPr>
                <w:rFonts w:ascii="Trebuchet MS" w:hAnsi="Trebuchet MS"/>
                <w:color w:val="1F4E79" w:themeColor="accent1" w:themeShade="80"/>
                <w:lang w:val="en-GB"/>
              </w:rPr>
              <w:t xml:space="preserve">potential </w:t>
            </w:r>
            <w:r w:rsidR="003671CA">
              <w:rPr>
                <w:rFonts w:ascii="Trebuchet MS" w:hAnsi="Trebuchet MS"/>
                <w:color w:val="1F4E79" w:themeColor="accent1" w:themeShade="80"/>
                <w:lang w:val="en-GB"/>
              </w:rPr>
              <w:t xml:space="preserve">applicants, MA proposes to have the same </w:t>
            </w:r>
            <w:proofErr w:type="spellStart"/>
            <w:r w:rsidR="00DE537C">
              <w:rPr>
                <w:rFonts w:ascii="Trebuchet MS" w:hAnsi="Trebuchet MS"/>
                <w:color w:val="1F4E79" w:themeColor="accent1" w:themeShade="80"/>
                <w:lang w:val="en-GB"/>
              </w:rPr>
              <w:t>Jems</w:t>
            </w:r>
            <w:proofErr w:type="spellEnd"/>
            <w:r w:rsidR="00DE537C">
              <w:rPr>
                <w:rFonts w:ascii="Trebuchet MS" w:hAnsi="Trebuchet MS"/>
                <w:color w:val="1F4E79" w:themeColor="accent1" w:themeShade="80"/>
                <w:lang w:val="en-GB"/>
              </w:rPr>
              <w:t xml:space="preserve"> </w:t>
            </w:r>
            <w:r w:rsidR="003671CA">
              <w:rPr>
                <w:rFonts w:ascii="Trebuchet MS" w:hAnsi="Trebuchet MS"/>
                <w:color w:val="1F4E79" w:themeColor="accent1" w:themeShade="80"/>
                <w:lang w:val="en-GB"/>
              </w:rPr>
              <w:t>submission approach as</w:t>
            </w:r>
            <w:r w:rsidR="006F23E6">
              <w:rPr>
                <w:rFonts w:ascii="Trebuchet MS" w:hAnsi="Trebuchet MS"/>
                <w:color w:val="1F4E79" w:themeColor="accent1" w:themeShade="80"/>
                <w:lang w:val="en-GB"/>
              </w:rPr>
              <w:t xml:space="preserve"> when submitting the projects under the c</w:t>
            </w:r>
            <w:r w:rsidR="006F23E6" w:rsidRPr="006F23E6">
              <w:rPr>
                <w:rFonts w:ascii="Trebuchet MS" w:hAnsi="Trebuchet MS"/>
                <w:color w:val="1F4E79" w:themeColor="accent1" w:themeShade="80"/>
                <w:lang w:val="en-GB"/>
              </w:rPr>
              <w:t>ompetitive call for project proposals dedicated to Priority 2: A Green Region, Specific Objectives 2.4 and 2.7</w:t>
            </w:r>
            <w:r w:rsidR="006F23E6">
              <w:rPr>
                <w:rFonts w:ascii="Trebuchet MS" w:hAnsi="Trebuchet MS"/>
                <w:color w:val="1F4E79" w:themeColor="accent1" w:themeShade="80"/>
                <w:lang w:val="en-GB"/>
              </w:rPr>
              <w:t xml:space="preserve"> (call 2)</w:t>
            </w:r>
            <w:r w:rsidR="00DC7CFC">
              <w:rPr>
                <w:rFonts w:ascii="Trebuchet MS" w:hAnsi="Trebuchet MS"/>
                <w:color w:val="1F4E79" w:themeColor="accent1" w:themeShade="80"/>
                <w:lang w:val="en-GB"/>
              </w:rPr>
              <w:t xml:space="preserve">, respectively a single </w:t>
            </w:r>
            <w:r w:rsidR="004567D4">
              <w:rPr>
                <w:rFonts w:ascii="Trebuchet MS" w:hAnsi="Trebuchet MS"/>
                <w:color w:val="1F4E79" w:themeColor="accent1" w:themeShade="80"/>
                <w:lang w:val="en-GB"/>
              </w:rPr>
              <w:t>section</w:t>
            </w:r>
            <w:r w:rsidR="00DC7CFC">
              <w:rPr>
                <w:rFonts w:ascii="Trebuchet MS" w:hAnsi="Trebuchet MS"/>
                <w:color w:val="1F4E79" w:themeColor="accent1" w:themeShade="80"/>
                <w:lang w:val="en-GB"/>
              </w:rPr>
              <w:t xml:space="preserve"> in </w:t>
            </w:r>
            <w:proofErr w:type="spellStart"/>
            <w:r w:rsidR="00DC7CFC">
              <w:rPr>
                <w:rFonts w:ascii="Trebuchet MS" w:hAnsi="Trebuchet MS"/>
                <w:color w:val="1F4E79" w:themeColor="accent1" w:themeShade="80"/>
                <w:lang w:val="en-GB"/>
              </w:rPr>
              <w:t>Jems</w:t>
            </w:r>
            <w:proofErr w:type="spellEnd"/>
            <w:r w:rsidR="00DC7CFC">
              <w:rPr>
                <w:rFonts w:ascii="Trebuchet MS" w:hAnsi="Trebuchet MS"/>
                <w:color w:val="1F4E79" w:themeColor="accent1" w:themeShade="80"/>
                <w:lang w:val="en-GB"/>
              </w:rPr>
              <w:t xml:space="preserve"> for both soft and hard projects.</w:t>
            </w:r>
          </w:p>
        </w:tc>
      </w:tr>
      <w:tr w:rsidR="00A10AE0" w:rsidRPr="009614D3" w14:paraId="098ED228" w14:textId="77777777" w:rsidTr="00E53BEF">
        <w:trPr>
          <w:trHeight w:val="248"/>
        </w:trPr>
        <w:tc>
          <w:tcPr>
            <w:tcW w:w="625" w:type="dxa"/>
            <w:shd w:val="clear" w:color="auto" w:fill="auto"/>
          </w:tcPr>
          <w:p w14:paraId="08DBC03E" w14:textId="77777777" w:rsidR="00A10AE0" w:rsidRDefault="00A10AE0" w:rsidP="004D64FC">
            <w:pPr>
              <w:jc w:val="both"/>
              <w:rPr>
                <w:rFonts w:ascii="Trebuchet MS" w:hAnsi="Trebuchet MS"/>
                <w:color w:val="1F4E79" w:themeColor="accent1" w:themeShade="80"/>
              </w:rPr>
            </w:pPr>
          </w:p>
        </w:tc>
        <w:tc>
          <w:tcPr>
            <w:tcW w:w="1800" w:type="dxa"/>
          </w:tcPr>
          <w:p w14:paraId="716ABB73" w14:textId="65A5A4FD" w:rsidR="00A10AE0" w:rsidRDefault="00A10AE0" w:rsidP="009935DE">
            <w:pPr>
              <w:jc w:val="both"/>
              <w:rPr>
                <w:rFonts w:ascii="Trebuchet MS" w:hAnsi="Trebuchet MS"/>
                <w:color w:val="1F4E79" w:themeColor="accent1" w:themeShade="80"/>
              </w:rPr>
            </w:pPr>
            <w:r>
              <w:rPr>
                <w:rFonts w:ascii="Trebuchet MS" w:hAnsi="Trebuchet MS"/>
                <w:color w:val="1F4E79" w:themeColor="accent1" w:themeShade="80"/>
              </w:rPr>
              <w:t>The Forest of Tomorrow Foundation, Romania</w:t>
            </w:r>
          </w:p>
        </w:tc>
        <w:tc>
          <w:tcPr>
            <w:tcW w:w="6570" w:type="dxa"/>
          </w:tcPr>
          <w:p w14:paraId="17384056" w14:textId="0FCAE678" w:rsidR="00A10AE0" w:rsidRPr="00A10AE0" w:rsidRDefault="00A10AE0" w:rsidP="00A10AE0">
            <w:pPr>
              <w:spacing w:before="120"/>
              <w:jc w:val="both"/>
              <w:rPr>
                <w:rFonts w:ascii="Trebuchet MS" w:hAnsi="Trebuchet MS"/>
                <w:color w:val="1F4E79" w:themeColor="accent1" w:themeShade="80"/>
              </w:rPr>
            </w:pPr>
            <w:r w:rsidRPr="00A10AE0">
              <w:rPr>
                <w:rFonts w:ascii="Trebuchet MS" w:hAnsi="Trebuchet MS"/>
                <w:color w:val="1F4E79" w:themeColor="accent1" w:themeShade="80"/>
              </w:rPr>
              <w:t>Regarding 2.2 Eligibility of applicants and applications, "In order to be eligible th</w:t>
            </w:r>
            <w:r>
              <w:rPr>
                <w:rFonts w:ascii="Trebuchet MS" w:hAnsi="Trebuchet MS"/>
                <w:color w:val="1F4E79" w:themeColor="accent1" w:themeShade="80"/>
              </w:rPr>
              <w:t xml:space="preserve">ese applicants must fulfill the </w:t>
            </w:r>
            <w:r w:rsidRPr="00A10AE0">
              <w:rPr>
                <w:rFonts w:ascii="Trebuchet MS" w:hAnsi="Trebuchet MS"/>
                <w:color w:val="1F4E79" w:themeColor="accent1" w:themeShade="80"/>
              </w:rPr>
              <w:t>following criteria (...) have their headquarters in the Program area",</w:t>
            </w:r>
          </w:p>
          <w:p w14:paraId="04E7F8BD" w14:textId="27C09088" w:rsidR="00A10AE0" w:rsidRPr="00A10AE0" w:rsidRDefault="00A10AE0" w:rsidP="00A10AE0">
            <w:pPr>
              <w:spacing w:before="120"/>
              <w:jc w:val="both"/>
              <w:rPr>
                <w:rFonts w:ascii="Trebuchet MS" w:hAnsi="Trebuchet MS"/>
                <w:color w:val="1F4E79" w:themeColor="accent1" w:themeShade="80"/>
              </w:rPr>
            </w:pPr>
            <w:r w:rsidRPr="00A10AE0">
              <w:rPr>
                <w:rFonts w:ascii="Trebuchet MS" w:hAnsi="Trebuchet MS"/>
                <w:color w:val="1F4E79" w:themeColor="accent1" w:themeShade="80"/>
              </w:rPr>
              <w:t xml:space="preserve">We believe that this restriction significantly limits the access to funding of some </w:t>
            </w:r>
            <w:r>
              <w:rPr>
                <w:rFonts w:ascii="Trebuchet MS" w:hAnsi="Trebuchet MS"/>
                <w:color w:val="1F4E79" w:themeColor="accent1" w:themeShade="80"/>
              </w:rPr>
              <w:t xml:space="preserve">NGOs that, although they do not </w:t>
            </w:r>
            <w:r w:rsidRPr="00A10AE0">
              <w:rPr>
                <w:rFonts w:ascii="Trebuchet MS" w:hAnsi="Trebuchet MS"/>
                <w:color w:val="1F4E79" w:themeColor="accent1" w:themeShade="80"/>
              </w:rPr>
              <w:t>meet this geographic criterion, have extensive experience and relevant knowledge</w:t>
            </w:r>
            <w:r>
              <w:rPr>
                <w:rFonts w:ascii="Trebuchet MS" w:hAnsi="Trebuchet MS"/>
                <w:color w:val="1F4E79" w:themeColor="accent1" w:themeShade="80"/>
              </w:rPr>
              <w:t xml:space="preserve"> in the field of climate change </w:t>
            </w:r>
            <w:r w:rsidRPr="00A10AE0">
              <w:rPr>
                <w:rFonts w:ascii="Trebuchet MS" w:hAnsi="Trebuchet MS"/>
                <w:color w:val="1F4E79" w:themeColor="accent1" w:themeShade="80"/>
              </w:rPr>
              <w:t xml:space="preserve">and disaster risk management. In many cases, such organizations have carried out </w:t>
            </w:r>
            <w:r>
              <w:rPr>
                <w:rFonts w:ascii="Trebuchet MS" w:hAnsi="Trebuchet MS"/>
                <w:color w:val="1F4E79" w:themeColor="accent1" w:themeShade="80"/>
              </w:rPr>
              <w:t xml:space="preserve">successful projects at national </w:t>
            </w:r>
            <w:r w:rsidRPr="00A10AE0">
              <w:rPr>
                <w:rFonts w:ascii="Trebuchet MS" w:hAnsi="Trebuchet MS"/>
                <w:color w:val="1F4E79" w:themeColor="accent1" w:themeShade="80"/>
              </w:rPr>
              <w:t>and international level, even in the regions targeted by this call, which could contr</w:t>
            </w:r>
            <w:r>
              <w:rPr>
                <w:rFonts w:ascii="Trebuchet MS" w:hAnsi="Trebuchet MS"/>
                <w:color w:val="1F4E79" w:themeColor="accent1" w:themeShade="80"/>
              </w:rPr>
              <w:t xml:space="preserve">ibute to the achievement of the </w:t>
            </w:r>
            <w:proofErr w:type="spellStart"/>
            <w:r w:rsidRPr="00A10AE0">
              <w:rPr>
                <w:rFonts w:ascii="Trebuchet MS" w:hAnsi="Trebuchet MS"/>
                <w:color w:val="1F4E79" w:themeColor="accent1" w:themeShade="80"/>
              </w:rPr>
              <w:t>programme's</w:t>
            </w:r>
            <w:proofErr w:type="spellEnd"/>
            <w:r w:rsidRPr="00A10AE0">
              <w:rPr>
                <w:rFonts w:ascii="Trebuchet MS" w:hAnsi="Trebuchet MS"/>
                <w:color w:val="1F4E79" w:themeColor="accent1" w:themeShade="80"/>
              </w:rPr>
              <w:t xml:space="preserve"> objectives.</w:t>
            </w:r>
          </w:p>
          <w:p w14:paraId="3686BA53" w14:textId="6B1AB392" w:rsidR="00A10AE0" w:rsidRPr="00A10AE0" w:rsidRDefault="00A10AE0" w:rsidP="00A10AE0">
            <w:pPr>
              <w:spacing w:before="120"/>
              <w:jc w:val="both"/>
              <w:rPr>
                <w:rFonts w:ascii="Trebuchet MS" w:hAnsi="Trebuchet MS"/>
                <w:color w:val="1F4E79" w:themeColor="accent1" w:themeShade="80"/>
              </w:rPr>
            </w:pPr>
            <w:r w:rsidRPr="00A10AE0">
              <w:rPr>
                <w:rFonts w:ascii="Trebuchet MS" w:hAnsi="Trebuchet MS"/>
                <w:color w:val="1F4E79" w:themeColor="accent1" w:themeShade="80"/>
              </w:rPr>
              <w:t>This approach can create discrepancies in terms of equal access to resources, i</w:t>
            </w:r>
            <w:r>
              <w:rPr>
                <w:rFonts w:ascii="Trebuchet MS" w:hAnsi="Trebuchet MS"/>
                <w:color w:val="1F4E79" w:themeColor="accent1" w:themeShade="80"/>
              </w:rPr>
              <w:t xml:space="preserve">gnoring the valuable input that </w:t>
            </w:r>
            <w:r w:rsidRPr="00A10AE0">
              <w:rPr>
                <w:rFonts w:ascii="Trebuchet MS" w:hAnsi="Trebuchet MS"/>
                <w:color w:val="1F4E79" w:themeColor="accent1" w:themeShade="80"/>
              </w:rPr>
              <w:t>these NGOs could bring.</w:t>
            </w:r>
          </w:p>
          <w:p w14:paraId="5C78461A" w14:textId="2F7D7A75" w:rsidR="00A10AE0" w:rsidRPr="00A10AE0" w:rsidRDefault="00A10AE0" w:rsidP="00A10AE0">
            <w:pPr>
              <w:spacing w:before="120"/>
              <w:jc w:val="both"/>
              <w:rPr>
                <w:rFonts w:ascii="Trebuchet MS" w:hAnsi="Trebuchet MS"/>
                <w:color w:val="1F4E79" w:themeColor="accent1" w:themeShade="80"/>
              </w:rPr>
            </w:pPr>
            <w:r w:rsidRPr="00A10AE0">
              <w:rPr>
                <w:rFonts w:ascii="Trebuchet MS" w:hAnsi="Trebuchet MS"/>
                <w:color w:val="1F4E79" w:themeColor="accent1" w:themeShade="80"/>
              </w:rPr>
              <w:t xml:space="preserve">In this context, we respectfully propose to expand the eligibility criteria to also allow </w:t>
            </w:r>
            <w:r>
              <w:rPr>
                <w:rFonts w:ascii="Trebuchet MS" w:hAnsi="Trebuchet MS"/>
                <w:color w:val="1F4E79" w:themeColor="accent1" w:themeShade="80"/>
              </w:rPr>
              <w:t xml:space="preserve">the participation of NGOs that, </w:t>
            </w:r>
            <w:r w:rsidRPr="00A10AE0">
              <w:rPr>
                <w:rFonts w:ascii="Trebuchet MS" w:hAnsi="Trebuchet MS"/>
                <w:color w:val="1F4E79" w:themeColor="accent1" w:themeShade="80"/>
              </w:rPr>
              <w:t>although not based in the counties included in the Program, carry out significant activi</w:t>
            </w:r>
            <w:r>
              <w:rPr>
                <w:rFonts w:ascii="Trebuchet MS" w:hAnsi="Trebuchet MS"/>
                <w:color w:val="1F4E79" w:themeColor="accent1" w:themeShade="80"/>
              </w:rPr>
              <w:t xml:space="preserve">ties in these regions or in the </w:t>
            </w:r>
            <w:r w:rsidRPr="00A10AE0">
              <w:rPr>
                <w:rFonts w:ascii="Trebuchet MS" w:hAnsi="Trebuchet MS"/>
                <w:color w:val="1F4E79" w:themeColor="accent1" w:themeShade="80"/>
              </w:rPr>
              <w:t>targeted fields. We believe that this could encourage a greater diversity of exper</w:t>
            </w:r>
            <w:r>
              <w:rPr>
                <w:rFonts w:ascii="Trebuchet MS" w:hAnsi="Trebuchet MS"/>
                <w:color w:val="1F4E79" w:themeColor="accent1" w:themeShade="80"/>
              </w:rPr>
              <w:t xml:space="preserve">tise and increase efficiency in </w:t>
            </w:r>
            <w:r w:rsidRPr="00A10AE0">
              <w:rPr>
                <w:rFonts w:ascii="Trebuchet MS" w:hAnsi="Trebuchet MS"/>
                <w:color w:val="1F4E79" w:themeColor="accent1" w:themeShade="80"/>
              </w:rPr>
              <w:t>achieving set goals.</w:t>
            </w:r>
          </w:p>
          <w:p w14:paraId="26A61C12" w14:textId="787640DF" w:rsidR="00A10AE0" w:rsidRDefault="00A10AE0" w:rsidP="00A10AE0">
            <w:pPr>
              <w:spacing w:before="120"/>
              <w:jc w:val="both"/>
              <w:rPr>
                <w:rFonts w:ascii="Trebuchet MS" w:hAnsi="Trebuchet MS"/>
                <w:color w:val="1F4E79" w:themeColor="accent1" w:themeShade="80"/>
              </w:rPr>
            </w:pPr>
            <w:r w:rsidRPr="00A10AE0">
              <w:rPr>
                <w:rFonts w:ascii="Trebuchet MS" w:hAnsi="Trebuchet MS"/>
                <w:color w:val="1F4E79" w:themeColor="accent1" w:themeShade="80"/>
              </w:rPr>
              <w:t>We would also consider it useful to explore flexible options, such as the possibili</w:t>
            </w:r>
            <w:r>
              <w:rPr>
                <w:rFonts w:ascii="Trebuchet MS" w:hAnsi="Trebuchet MS"/>
                <w:color w:val="1F4E79" w:themeColor="accent1" w:themeShade="80"/>
              </w:rPr>
              <w:t xml:space="preserve">ty for NGOs to open branches in </w:t>
            </w:r>
            <w:r w:rsidRPr="00A10AE0">
              <w:rPr>
                <w:rFonts w:ascii="Trebuchet MS" w:hAnsi="Trebuchet MS"/>
                <w:color w:val="1F4E79" w:themeColor="accent1" w:themeShade="80"/>
              </w:rPr>
              <w:t>eligible counties, which would allow their access to funding, without compromising the current territorial criteria.</w:t>
            </w:r>
          </w:p>
        </w:tc>
        <w:tc>
          <w:tcPr>
            <w:tcW w:w="2552" w:type="dxa"/>
          </w:tcPr>
          <w:p w14:paraId="4D8FAA97" w14:textId="319DDADE" w:rsidR="00A10AE0" w:rsidRDefault="00A10AE0" w:rsidP="004D64FC">
            <w:pPr>
              <w:jc w:val="both"/>
              <w:rPr>
                <w:rFonts w:ascii="Trebuchet MS" w:hAnsi="Trebuchet MS"/>
                <w:color w:val="1F4E79" w:themeColor="accent1" w:themeShade="80"/>
              </w:rPr>
            </w:pPr>
            <w:r>
              <w:rPr>
                <w:rFonts w:ascii="Trebuchet MS" w:hAnsi="Trebuchet MS"/>
                <w:color w:val="1F4E79" w:themeColor="accent1" w:themeShade="80"/>
              </w:rPr>
              <w:t>Not accepted</w:t>
            </w:r>
          </w:p>
        </w:tc>
        <w:tc>
          <w:tcPr>
            <w:tcW w:w="3120" w:type="dxa"/>
          </w:tcPr>
          <w:p w14:paraId="6C110E9A" w14:textId="31866FED" w:rsidR="00360078" w:rsidRPr="005C7004" w:rsidRDefault="00360078" w:rsidP="007C311F">
            <w:pPr>
              <w:jc w:val="both"/>
              <w:rPr>
                <w:rFonts w:ascii="Trebuchet MS" w:hAnsi="Trebuchet MS"/>
                <w:color w:val="1F4E79" w:themeColor="accent1" w:themeShade="80"/>
              </w:rPr>
            </w:pPr>
            <w:r w:rsidRPr="005C7004">
              <w:rPr>
                <w:rFonts w:ascii="Trebuchet MS" w:hAnsi="Trebuchet MS"/>
                <w:color w:val="1F4E79" w:themeColor="accent1" w:themeShade="80"/>
              </w:rPr>
              <w:t xml:space="preserve">Considering the cross-border dimension and relative reduce </w:t>
            </w:r>
            <w:r w:rsidRPr="00E00DFA">
              <w:rPr>
                <w:rFonts w:ascii="Trebuchet MS" w:hAnsi="Trebuchet MS"/>
                <w:color w:val="1F4E79" w:themeColor="accent1" w:themeShade="80"/>
              </w:rPr>
              <w:t xml:space="preserve">budget of the </w:t>
            </w:r>
            <w:proofErr w:type="spellStart"/>
            <w:r w:rsidRPr="00E00DFA">
              <w:rPr>
                <w:rFonts w:ascii="Trebuchet MS" w:hAnsi="Trebuchet MS"/>
                <w:color w:val="1F4E79" w:themeColor="accent1" w:themeShade="80"/>
              </w:rPr>
              <w:t>Interreg</w:t>
            </w:r>
            <w:proofErr w:type="spellEnd"/>
            <w:r w:rsidRPr="00E00DFA">
              <w:rPr>
                <w:rFonts w:ascii="Trebuchet MS" w:hAnsi="Trebuchet MS"/>
                <w:color w:val="1F4E79" w:themeColor="accent1" w:themeShade="80"/>
              </w:rPr>
              <w:t xml:space="preserve"> VI-A ROBG </w:t>
            </w:r>
            <w:proofErr w:type="spellStart"/>
            <w:r w:rsidRPr="00E00DFA">
              <w:rPr>
                <w:rFonts w:ascii="Trebuchet MS" w:hAnsi="Trebuchet MS"/>
                <w:color w:val="1F4E79" w:themeColor="accent1" w:themeShade="80"/>
              </w:rPr>
              <w:t>Programme</w:t>
            </w:r>
            <w:proofErr w:type="spellEnd"/>
            <w:r w:rsidRPr="00E00DFA">
              <w:rPr>
                <w:rFonts w:ascii="Trebuchet MS" w:hAnsi="Trebuchet MS"/>
                <w:color w:val="1F4E79" w:themeColor="accent1" w:themeShade="80"/>
              </w:rPr>
              <w:t xml:space="preserve"> </w:t>
            </w:r>
            <w:r w:rsidRPr="005C7004">
              <w:rPr>
                <w:rFonts w:ascii="Trebuchet MS" w:hAnsi="Trebuchet MS"/>
                <w:color w:val="1F4E79" w:themeColor="accent1" w:themeShade="80"/>
              </w:rPr>
              <w:t xml:space="preserve">compared to the previous periods, our main goal </w:t>
            </w:r>
            <w:r w:rsidR="00E00DFA">
              <w:rPr>
                <w:rFonts w:ascii="Trebuchet MS" w:hAnsi="Trebuchet MS"/>
                <w:color w:val="1F4E79" w:themeColor="accent1" w:themeShade="80"/>
              </w:rPr>
              <w:t xml:space="preserve">is to </w:t>
            </w:r>
            <w:r w:rsidRPr="00E00DFA">
              <w:rPr>
                <w:rFonts w:ascii="Trebuchet MS" w:hAnsi="Trebuchet MS"/>
                <w:color w:val="1F4E79" w:themeColor="accent1" w:themeShade="80"/>
              </w:rPr>
              <w:t xml:space="preserve">focus </w:t>
            </w:r>
            <w:r w:rsidRPr="00E00DFA">
              <w:rPr>
                <w:rFonts w:ascii="Trebuchet MS" w:eastAsia="Times New Roman" w:hAnsi="Trebuchet MS" w:cstheme="minorHAnsi"/>
                <w:bCs/>
                <w:color w:val="1F4E79" w:themeColor="accent1" w:themeShade="80"/>
                <w:lang w:eastAsia="en-GB"/>
              </w:rPr>
              <w:t xml:space="preserve">on an efficient use of the </w:t>
            </w:r>
            <w:proofErr w:type="spellStart"/>
            <w:r w:rsidRPr="00E00DFA">
              <w:rPr>
                <w:rFonts w:ascii="Trebuchet MS" w:eastAsia="Times New Roman" w:hAnsi="Trebuchet MS" w:cstheme="minorHAnsi"/>
                <w:bCs/>
                <w:color w:val="1F4E79" w:themeColor="accent1" w:themeShade="80"/>
                <w:lang w:eastAsia="en-GB"/>
              </w:rPr>
              <w:t>Programme</w:t>
            </w:r>
            <w:proofErr w:type="spellEnd"/>
            <w:r w:rsidRPr="00E00DFA">
              <w:rPr>
                <w:rFonts w:ascii="Trebuchet MS" w:eastAsia="Times New Roman" w:hAnsi="Trebuchet MS" w:cstheme="minorHAnsi"/>
                <w:bCs/>
                <w:color w:val="1F4E79" w:themeColor="accent1" w:themeShade="80"/>
                <w:lang w:eastAsia="en-GB"/>
              </w:rPr>
              <w:t xml:space="preserve"> budget in order to achieve the desired development objectives</w:t>
            </w:r>
            <w:r w:rsidRPr="004E68CB">
              <w:rPr>
                <w:rFonts w:ascii="Trebuchet MS" w:eastAsia="Times New Roman" w:hAnsi="Trebuchet MS" w:cstheme="minorHAnsi"/>
                <w:bCs/>
                <w:color w:val="1F4E79" w:themeColor="accent1" w:themeShade="80"/>
                <w:lang w:eastAsia="en-GB"/>
              </w:rPr>
              <w:t xml:space="preserve"> and to address the region’s diverse and substantial development challenges</w:t>
            </w:r>
            <w:r w:rsidRPr="00767F8A">
              <w:rPr>
                <w:rFonts w:ascii="Trebuchet MS" w:eastAsia="Times New Roman" w:hAnsi="Trebuchet MS" w:cstheme="minorHAnsi"/>
                <w:bCs/>
                <w:color w:val="1F4E79" w:themeColor="accent1" w:themeShade="80"/>
                <w:lang w:eastAsia="en-GB"/>
              </w:rPr>
              <w:t xml:space="preserve">. In this respect </w:t>
            </w:r>
            <w:r w:rsidRPr="002432F9">
              <w:rPr>
                <w:rFonts w:ascii="Trebuchet MS" w:eastAsia="Times New Roman" w:hAnsi="Trebuchet MS" w:cstheme="minorHAnsi"/>
                <w:bCs/>
                <w:color w:val="1F4E79" w:themeColor="accent1" w:themeShade="80"/>
                <w:lang w:eastAsia="en-GB"/>
              </w:rPr>
              <w:t xml:space="preserve">the </w:t>
            </w:r>
            <w:proofErr w:type="spellStart"/>
            <w:r w:rsidRPr="002432F9">
              <w:rPr>
                <w:rFonts w:ascii="Trebuchet MS" w:eastAsia="Times New Roman" w:hAnsi="Trebuchet MS" w:cstheme="minorHAnsi"/>
                <w:bCs/>
                <w:color w:val="1F4E79" w:themeColor="accent1" w:themeShade="80"/>
                <w:lang w:eastAsia="en-GB"/>
              </w:rPr>
              <w:t>Programme</w:t>
            </w:r>
            <w:proofErr w:type="spellEnd"/>
            <w:r w:rsidRPr="002432F9">
              <w:rPr>
                <w:rFonts w:ascii="Trebuchet MS" w:eastAsia="Times New Roman" w:hAnsi="Trebuchet MS" w:cstheme="minorHAnsi"/>
                <w:bCs/>
                <w:color w:val="1F4E79" w:themeColor="accent1" w:themeShade="80"/>
                <w:lang w:eastAsia="en-GB"/>
              </w:rPr>
              <w:t xml:space="preserve"> </w:t>
            </w:r>
            <w:r w:rsidRPr="00DF0A8E">
              <w:rPr>
                <w:rFonts w:ascii="Trebuchet MS" w:eastAsia="Times New Roman" w:hAnsi="Trebuchet MS" w:cstheme="minorHAnsi"/>
                <w:bCs/>
                <w:color w:val="1F4E79" w:themeColor="accent1" w:themeShade="80"/>
                <w:lang w:eastAsia="en-GB"/>
              </w:rPr>
              <w:t xml:space="preserve">focuses mainly, on projects that jointly solve challenges specific to the area, have a real cross-border impact </w:t>
            </w:r>
            <w:r w:rsidRPr="006A0DD8">
              <w:rPr>
                <w:rFonts w:ascii="Trebuchet MS" w:eastAsia="Times New Roman" w:hAnsi="Trebuchet MS" w:cstheme="minorHAnsi"/>
                <w:bCs/>
                <w:color w:val="1F4E79" w:themeColor="accent1" w:themeShade="80"/>
                <w:lang w:eastAsia="en-GB"/>
              </w:rPr>
              <w:t>and will benefit the population, businesses and institutions in the cross-border region.</w:t>
            </w:r>
          </w:p>
          <w:p w14:paraId="50749129" w14:textId="7A7CDAA0" w:rsidR="007C311F" w:rsidRPr="005C7004" w:rsidRDefault="001A086F" w:rsidP="00360078">
            <w:pPr>
              <w:spacing w:before="120"/>
              <w:jc w:val="both"/>
              <w:rPr>
                <w:rFonts w:ascii="Trebuchet MS" w:hAnsi="Trebuchet MS"/>
                <w:color w:val="1F4E79" w:themeColor="accent1" w:themeShade="80"/>
              </w:rPr>
            </w:pPr>
            <w:r w:rsidRPr="005C7004">
              <w:rPr>
                <w:rFonts w:ascii="Trebuchet MS" w:hAnsi="Trebuchet MS"/>
                <w:color w:val="1F4E79" w:themeColor="accent1" w:themeShade="80"/>
              </w:rPr>
              <w:t>Thus, a</w:t>
            </w:r>
            <w:r w:rsidR="007C311F" w:rsidRPr="005C7004">
              <w:rPr>
                <w:rFonts w:ascii="Trebuchet MS" w:hAnsi="Trebuchet MS"/>
                <w:color w:val="1F4E79" w:themeColor="accent1" w:themeShade="80"/>
              </w:rPr>
              <w:t xml:space="preserve">ccording to the provisions of the Applicant’s Guide, the applicants must fulfill a set of criteria in order to be eligible. Among the potential eligible applicants of the </w:t>
            </w:r>
            <w:proofErr w:type="spellStart"/>
            <w:r w:rsidR="007C311F" w:rsidRPr="005C7004">
              <w:rPr>
                <w:rFonts w:ascii="Trebuchet MS" w:hAnsi="Trebuchet MS"/>
                <w:color w:val="1F4E79" w:themeColor="accent1" w:themeShade="80"/>
              </w:rPr>
              <w:t>Programme</w:t>
            </w:r>
            <w:proofErr w:type="spellEnd"/>
            <w:r w:rsidR="007C311F" w:rsidRPr="005C7004">
              <w:rPr>
                <w:rFonts w:ascii="Trebuchet MS" w:hAnsi="Trebuchet MS"/>
                <w:color w:val="1F4E79" w:themeColor="accent1" w:themeShade="80"/>
              </w:rPr>
              <w:t xml:space="preserve">, the Applicant’s Guide mentions also applicants outside the </w:t>
            </w:r>
            <w:proofErr w:type="spellStart"/>
            <w:r w:rsidR="007C311F" w:rsidRPr="005C7004">
              <w:rPr>
                <w:rFonts w:ascii="Trebuchet MS" w:hAnsi="Trebuchet MS"/>
                <w:color w:val="1F4E79" w:themeColor="accent1" w:themeShade="80"/>
              </w:rPr>
              <w:t>Programme</w:t>
            </w:r>
            <w:proofErr w:type="spellEnd"/>
            <w:r w:rsidR="007C311F" w:rsidRPr="005C7004">
              <w:rPr>
                <w:rFonts w:ascii="Trebuchet MS" w:hAnsi="Trebuchet MS"/>
                <w:color w:val="1F4E79" w:themeColor="accent1" w:themeShade="80"/>
              </w:rPr>
              <w:t xml:space="preserve"> area, from Romania and Bulgaria, </w:t>
            </w:r>
            <w:r w:rsidR="007C311F" w:rsidRPr="005C7004">
              <w:rPr>
                <w:rFonts w:ascii="Trebuchet MS" w:hAnsi="Trebuchet MS"/>
                <w:color w:val="1F4E79" w:themeColor="accent1" w:themeShade="80"/>
                <w:lang w:val="en-GB"/>
              </w:rPr>
              <w:t>but only in exceptional cases, namely if they:</w:t>
            </w:r>
          </w:p>
          <w:p w14:paraId="14C6786C" w14:textId="77777777" w:rsidR="007C311F" w:rsidRPr="005C7004" w:rsidRDefault="007C311F" w:rsidP="007C311F">
            <w:pPr>
              <w:numPr>
                <w:ilvl w:val="0"/>
                <w:numId w:val="8"/>
              </w:numPr>
              <w:ind w:left="250" w:hanging="142"/>
              <w:jc w:val="both"/>
              <w:rPr>
                <w:rFonts w:ascii="Trebuchet MS" w:hAnsi="Trebuchet MS"/>
                <w:i/>
                <w:color w:val="1F4E79" w:themeColor="accent1" w:themeShade="80"/>
                <w:lang w:val="en-GB"/>
              </w:rPr>
            </w:pPr>
            <w:r w:rsidRPr="005C7004">
              <w:rPr>
                <w:rFonts w:ascii="Trebuchet MS" w:hAnsi="Trebuchet MS"/>
                <w:i/>
                <w:color w:val="1F4E79" w:themeColor="accent1" w:themeShade="80"/>
                <w:lang w:val="en-GB"/>
              </w:rPr>
              <w:t>Are competent in their scope of action for certain parts of the Programme area (e.g. ministries, national agencies, research institutes etc.);</w:t>
            </w:r>
          </w:p>
          <w:p w14:paraId="15B1D8D2" w14:textId="77777777" w:rsidR="007C311F" w:rsidRPr="005C7004" w:rsidRDefault="007C311F" w:rsidP="007C311F">
            <w:pPr>
              <w:numPr>
                <w:ilvl w:val="0"/>
                <w:numId w:val="8"/>
              </w:numPr>
              <w:ind w:left="250" w:hanging="142"/>
              <w:jc w:val="both"/>
              <w:rPr>
                <w:rFonts w:ascii="Trebuchet MS" w:hAnsi="Trebuchet MS"/>
                <w:i/>
                <w:color w:val="1F4E79" w:themeColor="accent1" w:themeShade="80"/>
                <w:lang w:val="en-GB"/>
              </w:rPr>
            </w:pPr>
            <w:r w:rsidRPr="005C7004">
              <w:rPr>
                <w:rFonts w:ascii="Trebuchet MS" w:hAnsi="Trebuchet MS"/>
                <w:i/>
                <w:color w:val="1F4E79" w:themeColor="accent1" w:themeShade="80"/>
                <w:lang w:val="en-GB"/>
              </w:rPr>
              <w:t>Carry out activities that are beneficial for the Programme area;</w:t>
            </w:r>
          </w:p>
          <w:p w14:paraId="521AE9B8" w14:textId="77777777" w:rsidR="007C311F" w:rsidRPr="005C7004" w:rsidRDefault="007C311F" w:rsidP="007C311F">
            <w:pPr>
              <w:numPr>
                <w:ilvl w:val="0"/>
                <w:numId w:val="8"/>
              </w:numPr>
              <w:ind w:left="250" w:hanging="142"/>
              <w:jc w:val="both"/>
              <w:rPr>
                <w:rFonts w:ascii="Trebuchet MS" w:hAnsi="Trebuchet MS"/>
                <w:i/>
                <w:color w:val="1F4E79" w:themeColor="accent1" w:themeShade="80"/>
                <w:lang w:val="en-GB"/>
              </w:rPr>
            </w:pPr>
            <w:r w:rsidRPr="005C7004">
              <w:rPr>
                <w:rFonts w:ascii="Trebuchet MS" w:hAnsi="Trebuchet MS"/>
                <w:i/>
                <w:color w:val="1F4E79" w:themeColor="accent1" w:themeShade="80"/>
                <w:lang w:val="en-GB"/>
              </w:rPr>
              <w:t>Their participation must bring clear added value and expertise to the implementation of a project and has to be beneficial for the Programme area.</w:t>
            </w:r>
          </w:p>
          <w:p w14:paraId="74BC09C6" w14:textId="6D85295C" w:rsidR="007C311F" w:rsidRPr="005C7004" w:rsidRDefault="007C311F" w:rsidP="007C311F">
            <w:pPr>
              <w:numPr>
                <w:ilvl w:val="0"/>
                <w:numId w:val="8"/>
              </w:numPr>
              <w:ind w:left="250" w:hanging="142"/>
              <w:jc w:val="both"/>
              <w:rPr>
                <w:rFonts w:ascii="Trebuchet MS" w:hAnsi="Trebuchet MS"/>
                <w:i/>
                <w:color w:val="1F4E79" w:themeColor="accent1" w:themeShade="80"/>
                <w:lang w:val="en-GB"/>
              </w:rPr>
            </w:pPr>
            <w:r w:rsidRPr="005C7004">
              <w:rPr>
                <w:rFonts w:ascii="Trebuchet MS" w:hAnsi="Trebuchet MS"/>
                <w:i/>
                <w:color w:val="1F4E79" w:themeColor="accent1" w:themeShade="80"/>
                <w:lang w:val="en-GB"/>
              </w:rPr>
              <w:t xml:space="preserve">They cannot take the Lead Partner role. </w:t>
            </w:r>
          </w:p>
          <w:p w14:paraId="3627112D" w14:textId="5C4C09B4" w:rsidR="007C311F" w:rsidRPr="005C7004" w:rsidRDefault="005C7004" w:rsidP="00D37F64">
            <w:pPr>
              <w:spacing w:before="120"/>
              <w:jc w:val="both"/>
              <w:rPr>
                <w:rFonts w:ascii="Trebuchet MS" w:hAnsi="Trebuchet MS"/>
                <w:color w:val="1F4E79" w:themeColor="accent1" w:themeShade="80"/>
              </w:rPr>
            </w:pPr>
            <w:r>
              <w:rPr>
                <w:rFonts w:ascii="Trebuchet MS" w:hAnsi="Trebuchet MS"/>
                <w:color w:val="1F4E79" w:themeColor="accent1" w:themeShade="80"/>
                <w:lang w:val="en-GB"/>
              </w:rPr>
              <w:t>Therefore</w:t>
            </w:r>
            <w:r w:rsidR="00A44C66" w:rsidRPr="005C7004">
              <w:rPr>
                <w:rFonts w:ascii="Trebuchet MS" w:hAnsi="Trebuchet MS"/>
                <w:color w:val="1F4E79" w:themeColor="accent1" w:themeShade="80"/>
                <w:lang w:val="en-GB"/>
              </w:rPr>
              <w:t xml:space="preserve">, an applicant </w:t>
            </w:r>
            <w:r w:rsidR="00A44C66" w:rsidRPr="005C7004">
              <w:rPr>
                <w:rFonts w:ascii="Trebuchet MS" w:hAnsi="Trebuchet MS"/>
                <w:color w:val="1F4E79" w:themeColor="accent1" w:themeShade="80"/>
              </w:rPr>
              <w:t>outside</w:t>
            </w:r>
            <w:r w:rsidR="00D37F64" w:rsidRPr="005C7004">
              <w:rPr>
                <w:rFonts w:ascii="Trebuchet MS" w:hAnsi="Trebuchet MS"/>
                <w:color w:val="1F4E79" w:themeColor="accent1" w:themeShade="80"/>
              </w:rPr>
              <w:t xml:space="preserve"> the </w:t>
            </w:r>
            <w:proofErr w:type="spellStart"/>
            <w:r w:rsidR="00D37F64" w:rsidRPr="005C7004">
              <w:rPr>
                <w:rFonts w:ascii="Trebuchet MS" w:hAnsi="Trebuchet MS"/>
                <w:color w:val="1F4E79" w:themeColor="accent1" w:themeShade="80"/>
              </w:rPr>
              <w:t>Programme</w:t>
            </w:r>
            <w:proofErr w:type="spellEnd"/>
            <w:r w:rsidR="00D37F64" w:rsidRPr="005C7004">
              <w:rPr>
                <w:rFonts w:ascii="Trebuchet MS" w:hAnsi="Trebuchet MS"/>
                <w:color w:val="1F4E79" w:themeColor="accent1" w:themeShade="80"/>
              </w:rPr>
              <w:t xml:space="preserve"> area is among the potential eligible applicants, provided it respects all the provisions of the Applicant’s Guide regarding eligibility.</w:t>
            </w:r>
          </w:p>
          <w:p w14:paraId="1B904AB5" w14:textId="7E6A8779" w:rsidR="00D37F64" w:rsidRDefault="00D37F64" w:rsidP="00D37F64">
            <w:pPr>
              <w:spacing w:before="120"/>
              <w:jc w:val="both"/>
              <w:rPr>
                <w:rFonts w:ascii="Trebuchet MS" w:hAnsi="Trebuchet MS"/>
                <w:color w:val="1F4E79" w:themeColor="accent1" w:themeShade="80"/>
                <w:lang w:val="en-GB"/>
              </w:rPr>
            </w:pPr>
            <w:r w:rsidRPr="005C7004">
              <w:rPr>
                <w:rFonts w:ascii="Trebuchet MS" w:hAnsi="Trebuchet MS"/>
                <w:color w:val="1F4E79" w:themeColor="accent1" w:themeShade="80"/>
                <w:lang w:val="en-GB"/>
              </w:rPr>
              <w:t xml:space="preserve">Also, the applicants outside the Programme area may participate in </w:t>
            </w:r>
            <w:proofErr w:type="spellStart"/>
            <w:r w:rsidRPr="005C7004">
              <w:rPr>
                <w:rFonts w:ascii="Trebuchet MS" w:hAnsi="Trebuchet MS"/>
                <w:color w:val="1F4E79" w:themeColor="accent1" w:themeShade="80"/>
                <w:lang w:val="en-GB"/>
              </w:rPr>
              <w:t>Interreg</w:t>
            </w:r>
            <w:proofErr w:type="spellEnd"/>
            <w:r w:rsidRPr="005C7004">
              <w:rPr>
                <w:rFonts w:ascii="Trebuchet MS" w:hAnsi="Trebuchet MS"/>
                <w:color w:val="1F4E79" w:themeColor="accent1" w:themeShade="80"/>
                <w:lang w:val="en-GB"/>
              </w:rPr>
              <w:t xml:space="preserve"> VI-A</w:t>
            </w:r>
            <w:r>
              <w:rPr>
                <w:rFonts w:ascii="Trebuchet MS" w:hAnsi="Trebuchet MS"/>
                <w:color w:val="1F4E79" w:themeColor="accent1" w:themeShade="80"/>
                <w:lang w:val="en-GB"/>
              </w:rPr>
              <w:t xml:space="preserve"> ROBG projects as associated partner, in this respect please consult the relevant sections of the Applicant’s Guide and </w:t>
            </w:r>
            <w:r w:rsidR="004F1ED7">
              <w:rPr>
                <w:rFonts w:ascii="Trebuchet MS" w:hAnsi="Trebuchet MS"/>
                <w:color w:val="1F4E79" w:themeColor="accent1" w:themeShade="80"/>
                <w:lang w:val="en-GB"/>
              </w:rPr>
              <w:t>A</w:t>
            </w:r>
            <w:r>
              <w:rPr>
                <w:rFonts w:ascii="Trebuchet MS" w:hAnsi="Trebuchet MS"/>
                <w:color w:val="1F4E79" w:themeColor="accent1" w:themeShade="80"/>
                <w:lang w:val="en-GB"/>
              </w:rPr>
              <w:t>pplication form.</w:t>
            </w:r>
          </w:p>
        </w:tc>
      </w:tr>
      <w:tr w:rsidR="004E68CB" w:rsidRPr="009614D3" w14:paraId="64B70988" w14:textId="77777777" w:rsidTr="00DF0A8E">
        <w:trPr>
          <w:trHeight w:val="248"/>
        </w:trPr>
        <w:tc>
          <w:tcPr>
            <w:tcW w:w="625" w:type="dxa"/>
            <w:shd w:val="clear" w:color="auto" w:fill="auto"/>
          </w:tcPr>
          <w:p w14:paraId="0C64CB3A" w14:textId="77777777" w:rsidR="004E68CB" w:rsidRDefault="004E68CB" w:rsidP="004D64FC">
            <w:pPr>
              <w:jc w:val="both"/>
              <w:rPr>
                <w:rFonts w:ascii="Trebuchet MS" w:hAnsi="Trebuchet MS"/>
                <w:color w:val="1F4E79" w:themeColor="accent1" w:themeShade="80"/>
              </w:rPr>
            </w:pPr>
          </w:p>
        </w:tc>
        <w:tc>
          <w:tcPr>
            <w:tcW w:w="1800" w:type="dxa"/>
          </w:tcPr>
          <w:p w14:paraId="11D5226D" w14:textId="47EFC4FE" w:rsidR="004E68CB" w:rsidRDefault="004E68CB" w:rsidP="009935DE">
            <w:pPr>
              <w:jc w:val="both"/>
              <w:rPr>
                <w:rFonts w:ascii="Trebuchet MS" w:hAnsi="Trebuchet MS"/>
                <w:color w:val="1F4E79" w:themeColor="accent1" w:themeShade="80"/>
              </w:rPr>
            </w:pPr>
            <w:r>
              <w:rPr>
                <w:rFonts w:ascii="Trebuchet MS" w:hAnsi="Trebuchet MS"/>
                <w:color w:val="1F4E79" w:themeColor="accent1" w:themeShade="80"/>
              </w:rPr>
              <w:t xml:space="preserve">Romanian Ministry of Internal Affairs </w:t>
            </w:r>
          </w:p>
        </w:tc>
        <w:tc>
          <w:tcPr>
            <w:tcW w:w="6570" w:type="dxa"/>
          </w:tcPr>
          <w:p w14:paraId="478D034E" w14:textId="77777777" w:rsidR="004E68CB" w:rsidRPr="004E68CB" w:rsidRDefault="004E68CB" w:rsidP="004E68CB">
            <w:pPr>
              <w:jc w:val="both"/>
              <w:rPr>
                <w:rFonts w:ascii="Trebuchet MS" w:hAnsi="Trebuchet MS"/>
                <w:color w:val="1F4E79" w:themeColor="accent1" w:themeShade="80"/>
              </w:rPr>
            </w:pPr>
            <w:proofErr w:type="spellStart"/>
            <w:r w:rsidRPr="004E68CB">
              <w:rPr>
                <w:rFonts w:ascii="Trebuchet MS" w:hAnsi="Trebuchet MS"/>
                <w:color w:val="1F4E79" w:themeColor="accent1" w:themeShade="80"/>
              </w:rPr>
              <w:t>Având</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în</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vedere</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publicarea</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în</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consultare</w:t>
            </w:r>
            <w:proofErr w:type="spellEnd"/>
            <w:r w:rsidRPr="004E68CB">
              <w:rPr>
                <w:rFonts w:ascii="Trebuchet MS" w:hAnsi="Trebuchet MS"/>
                <w:color w:val="1F4E79" w:themeColor="accent1" w:themeShade="80"/>
              </w:rPr>
              <w:t xml:space="preserve"> a </w:t>
            </w:r>
            <w:proofErr w:type="spellStart"/>
            <w:r w:rsidRPr="004E68CB">
              <w:rPr>
                <w:rFonts w:ascii="Trebuchet MS" w:hAnsi="Trebuchet MS"/>
                <w:color w:val="1F4E79" w:themeColor="accent1" w:themeShade="80"/>
              </w:rPr>
              <w:t>Ghidului</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Aplicantului</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aferent</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Priorității</w:t>
            </w:r>
            <w:proofErr w:type="spellEnd"/>
            <w:r w:rsidRPr="004E68CB">
              <w:rPr>
                <w:rFonts w:ascii="Trebuchet MS" w:hAnsi="Trebuchet MS"/>
                <w:color w:val="1F4E79" w:themeColor="accent1" w:themeShade="80"/>
              </w:rPr>
              <w:t xml:space="preserve"> 2 – O </w:t>
            </w:r>
            <w:proofErr w:type="spellStart"/>
            <w:r w:rsidRPr="004E68CB">
              <w:rPr>
                <w:rFonts w:ascii="Trebuchet MS" w:hAnsi="Trebuchet MS"/>
                <w:color w:val="1F4E79" w:themeColor="accent1" w:themeShade="80"/>
              </w:rPr>
              <w:t>regiune</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mai</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verde</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Obiectivul</w:t>
            </w:r>
            <w:proofErr w:type="spellEnd"/>
            <w:r w:rsidRPr="004E68CB">
              <w:rPr>
                <w:rFonts w:ascii="Trebuchet MS" w:hAnsi="Trebuchet MS"/>
                <w:color w:val="1F4E79" w:themeColor="accent1" w:themeShade="80"/>
              </w:rPr>
              <w:t xml:space="preserve"> Specific 2.4. </w:t>
            </w:r>
            <w:proofErr w:type="spellStart"/>
            <w:proofErr w:type="gramStart"/>
            <w:r w:rsidRPr="004E68CB">
              <w:rPr>
                <w:rFonts w:ascii="Trebuchet MS" w:hAnsi="Trebuchet MS"/>
                <w:color w:val="1F4E79" w:themeColor="accent1" w:themeShade="80"/>
              </w:rPr>
              <w:t>privind</w:t>
            </w:r>
            <w:proofErr w:type="spellEnd"/>
            <w:proofErr w:type="gram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promovarea</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adaptării</w:t>
            </w:r>
            <w:proofErr w:type="spellEnd"/>
            <w:r w:rsidRPr="004E68CB">
              <w:rPr>
                <w:rFonts w:ascii="Trebuchet MS" w:hAnsi="Trebuchet MS"/>
                <w:color w:val="1F4E79" w:themeColor="accent1" w:themeShade="80"/>
              </w:rPr>
              <w:t xml:space="preserve"> la </w:t>
            </w:r>
            <w:proofErr w:type="spellStart"/>
            <w:r w:rsidRPr="004E68CB">
              <w:rPr>
                <w:rFonts w:ascii="Trebuchet MS" w:hAnsi="Trebuchet MS"/>
                <w:color w:val="1F4E79" w:themeColor="accent1" w:themeShade="80"/>
              </w:rPr>
              <w:t>schimbările</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climatice</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prevenirea</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riscurilor</w:t>
            </w:r>
            <w:proofErr w:type="spellEnd"/>
            <w:r w:rsidRPr="004E68CB">
              <w:rPr>
                <w:rFonts w:ascii="Trebuchet MS" w:hAnsi="Trebuchet MS"/>
                <w:color w:val="1F4E79" w:themeColor="accent1" w:themeShade="80"/>
              </w:rPr>
              <w:t xml:space="preserve"> de </w:t>
            </w:r>
            <w:proofErr w:type="spellStart"/>
            <w:r w:rsidRPr="004E68CB">
              <w:rPr>
                <w:rFonts w:ascii="Trebuchet MS" w:hAnsi="Trebuchet MS"/>
                <w:color w:val="1F4E79" w:themeColor="accent1" w:themeShade="80"/>
              </w:rPr>
              <w:t>dezastre</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și</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creșterea</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rezilienței</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în</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cadrul</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Programului</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Interreg</w:t>
            </w:r>
            <w:proofErr w:type="spellEnd"/>
            <w:r w:rsidRPr="004E68CB">
              <w:rPr>
                <w:rFonts w:ascii="Trebuchet MS" w:hAnsi="Trebuchet MS"/>
                <w:color w:val="1F4E79" w:themeColor="accent1" w:themeShade="80"/>
              </w:rPr>
              <w:t xml:space="preserve"> VI-A </w:t>
            </w:r>
            <w:proofErr w:type="spellStart"/>
            <w:r w:rsidRPr="004E68CB">
              <w:rPr>
                <w:rFonts w:ascii="Trebuchet MS" w:hAnsi="Trebuchet MS"/>
                <w:color w:val="1F4E79" w:themeColor="accent1" w:themeShade="80"/>
              </w:rPr>
              <w:t>România</w:t>
            </w:r>
            <w:proofErr w:type="spellEnd"/>
            <w:r w:rsidRPr="004E68CB">
              <w:rPr>
                <w:rFonts w:ascii="Trebuchet MS" w:hAnsi="Trebuchet MS"/>
                <w:color w:val="1F4E79" w:themeColor="accent1" w:themeShade="80"/>
              </w:rPr>
              <w:t xml:space="preserve">-Bulgaria 2021-2027, </w:t>
            </w:r>
            <w:proofErr w:type="spellStart"/>
            <w:r w:rsidRPr="004E68CB">
              <w:rPr>
                <w:rFonts w:ascii="Trebuchet MS" w:hAnsi="Trebuchet MS"/>
                <w:color w:val="1F4E79" w:themeColor="accent1" w:themeShade="80"/>
              </w:rPr>
              <w:t>propunem</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următoarea</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modificare</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introducerea</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opțiunii</w:t>
            </w:r>
            <w:proofErr w:type="spellEnd"/>
            <w:r w:rsidRPr="004E68CB">
              <w:rPr>
                <w:rFonts w:ascii="Trebuchet MS" w:hAnsi="Trebuchet MS"/>
                <w:color w:val="1F4E79" w:themeColor="accent1" w:themeShade="80"/>
              </w:rPr>
              <w:t xml:space="preserve"> de a </w:t>
            </w:r>
            <w:proofErr w:type="spellStart"/>
            <w:r w:rsidRPr="004E68CB">
              <w:rPr>
                <w:rFonts w:ascii="Trebuchet MS" w:hAnsi="Trebuchet MS"/>
                <w:color w:val="1F4E79" w:themeColor="accent1" w:themeShade="80"/>
              </w:rPr>
              <w:t>selecta</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categoria</w:t>
            </w:r>
            <w:proofErr w:type="spellEnd"/>
            <w:r w:rsidRPr="004E68CB">
              <w:rPr>
                <w:rFonts w:ascii="Trebuchet MS" w:hAnsi="Trebuchet MS"/>
                <w:color w:val="1F4E79" w:themeColor="accent1" w:themeShade="80"/>
              </w:rPr>
              <w:t xml:space="preserve"> de </w:t>
            </w:r>
            <w:proofErr w:type="spellStart"/>
            <w:r w:rsidRPr="004E68CB">
              <w:rPr>
                <w:rFonts w:ascii="Trebuchet MS" w:hAnsi="Trebuchet MS"/>
                <w:color w:val="1F4E79" w:themeColor="accent1" w:themeShade="80"/>
              </w:rPr>
              <w:t>cheltuieli</w:t>
            </w:r>
            <w:proofErr w:type="spellEnd"/>
            <w:r w:rsidRPr="004E68CB">
              <w:rPr>
                <w:rFonts w:ascii="Trebuchet MS" w:hAnsi="Trebuchet MS"/>
                <w:color w:val="1F4E79" w:themeColor="accent1" w:themeShade="80"/>
              </w:rPr>
              <w:t xml:space="preserve"> „Travel and accommodation costs” ca </w:t>
            </w:r>
            <w:proofErr w:type="spellStart"/>
            <w:r w:rsidRPr="004E68CB">
              <w:rPr>
                <w:rFonts w:ascii="Trebuchet MS" w:hAnsi="Trebuchet MS"/>
                <w:color w:val="1F4E79" w:themeColor="accent1" w:themeShade="80"/>
              </w:rPr>
              <w:t>și</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costuri</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reale</w:t>
            </w:r>
            <w:proofErr w:type="spellEnd"/>
            <w:r w:rsidRPr="004E68CB">
              <w:rPr>
                <w:rFonts w:ascii="Trebuchet MS" w:hAnsi="Trebuchet MS"/>
                <w:color w:val="1F4E79" w:themeColor="accent1" w:themeShade="80"/>
              </w:rPr>
              <w:t>.</w:t>
            </w:r>
          </w:p>
          <w:p w14:paraId="07C4A24D" w14:textId="77777777" w:rsidR="004E68CB" w:rsidRPr="004E68CB" w:rsidRDefault="004E68CB" w:rsidP="004E68CB">
            <w:pPr>
              <w:jc w:val="both"/>
              <w:rPr>
                <w:rFonts w:ascii="Trebuchet MS" w:hAnsi="Trebuchet MS"/>
                <w:color w:val="1F4E79" w:themeColor="accent1" w:themeShade="80"/>
              </w:rPr>
            </w:pPr>
            <w:proofErr w:type="spellStart"/>
            <w:r w:rsidRPr="004E68CB">
              <w:rPr>
                <w:rFonts w:ascii="Trebuchet MS" w:hAnsi="Trebuchet MS"/>
                <w:color w:val="1F4E79" w:themeColor="accent1" w:themeShade="80"/>
              </w:rPr>
              <w:t>În</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prezent</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aceste</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costuri</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sunt</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limitate</w:t>
            </w:r>
            <w:proofErr w:type="spellEnd"/>
            <w:r w:rsidRPr="004E68CB">
              <w:rPr>
                <w:rFonts w:ascii="Trebuchet MS" w:hAnsi="Trebuchet MS"/>
                <w:color w:val="1F4E79" w:themeColor="accent1" w:themeShade="80"/>
              </w:rPr>
              <w:t xml:space="preserve"> la un flat rate de </w:t>
            </w:r>
            <w:proofErr w:type="spellStart"/>
            <w:r w:rsidRPr="004E68CB">
              <w:rPr>
                <w:rFonts w:ascii="Trebuchet MS" w:hAnsi="Trebuchet MS"/>
                <w:color w:val="1F4E79" w:themeColor="accent1" w:themeShade="80"/>
              </w:rPr>
              <w:t>până</w:t>
            </w:r>
            <w:proofErr w:type="spellEnd"/>
            <w:r w:rsidRPr="004E68CB">
              <w:rPr>
                <w:rFonts w:ascii="Trebuchet MS" w:hAnsi="Trebuchet MS"/>
                <w:color w:val="1F4E79" w:themeColor="accent1" w:themeShade="80"/>
              </w:rPr>
              <w:t xml:space="preserve"> la 15% din </w:t>
            </w:r>
            <w:proofErr w:type="spellStart"/>
            <w:r w:rsidRPr="004E68CB">
              <w:rPr>
                <w:rFonts w:ascii="Trebuchet MS" w:hAnsi="Trebuchet MS"/>
                <w:color w:val="1F4E79" w:themeColor="accent1" w:themeShade="80"/>
              </w:rPr>
              <w:t>costurile</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pentru</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salarizarea</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personalului</w:t>
            </w:r>
            <w:proofErr w:type="spellEnd"/>
            <w:r w:rsidRPr="004E68CB">
              <w:rPr>
                <w:rFonts w:ascii="Trebuchet MS" w:hAnsi="Trebuchet MS"/>
                <w:color w:val="1F4E79" w:themeColor="accent1" w:themeShade="80"/>
              </w:rPr>
              <w:t xml:space="preserve">, o </w:t>
            </w:r>
            <w:proofErr w:type="spellStart"/>
            <w:r w:rsidRPr="004E68CB">
              <w:rPr>
                <w:rFonts w:ascii="Trebuchet MS" w:hAnsi="Trebuchet MS"/>
                <w:color w:val="1F4E79" w:themeColor="accent1" w:themeShade="80"/>
              </w:rPr>
              <w:t>restricție</w:t>
            </w:r>
            <w:proofErr w:type="spellEnd"/>
            <w:r w:rsidRPr="004E68CB">
              <w:rPr>
                <w:rFonts w:ascii="Trebuchet MS" w:hAnsi="Trebuchet MS"/>
                <w:color w:val="1F4E79" w:themeColor="accent1" w:themeShade="80"/>
              </w:rPr>
              <w:t xml:space="preserve"> care nu </w:t>
            </w:r>
            <w:proofErr w:type="spellStart"/>
            <w:r w:rsidRPr="004E68CB">
              <w:rPr>
                <w:rFonts w:ascii="Trebuchet MS" w:hAnsi="Trebuchet MS"/>
                <w:color w:val="1F4E79" w:themeColor="accent1" w:themeShade="80"/>
              </w:rPr>
              <w:t>reflectă</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realitatea</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activităților</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derulate</w:t>
            </w:r>
            <w:proofErr w:type="spellEnd"/>
            <w:r w:rsidRPr="004E68CB">
              <w:rPr>
                <w:rFonts w:ascii="Trebuchet MS" w:hAnsi="Trebuchet MS"/>
                <w:color w:val="1F4E79" w:themeColor="accent1" w:themeShade="80"/>
              </w:rPr>
              <w:t xml:space="preserve"> de </w:t>
            </w:r>
            <w:proofErr w:type="spellStart"/>
            <w:r w:rsidRPr="004E68CB">
              <w:rPr>
                <w:rFonts w:ascii="Trebuchet MS" w:hAnsi="Trebuchet MS"/>
                <w:color w:val="1F4E79" w:themeColor="accent1" w:themeShade="80"/>
              </w:rPr>
              <w:t>anumite</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instituții</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în</w:t>
            </w:r>
            <w:proofErr w:type="spellEnd"/>
            <w:r w:rsidRPr="004E68CB">
              <w:rPr>
                <w:rFonts w:ascii="Trebuchet MS" w:hAnsi="Trebuchet MS"/>
                <w:color w:val="1F4E79" w:themeColor="accent1" w:themeShade="80"/>
              </w:rPr>
              <w:t xml:space="preserve"> special </w:t>
            </w:r>
            <w:proofErr w:type="spellStart"/>
            <w:r w:rsidRPr="004E68CB">
              <w:rPr>
                <w:rFonts w:ascii="Trebuchet MS" w:hAnsi="Trebuchet MS"/>
                <w:color w:val="1F4E79" w:themeColor="accent1" w:themeShade="80"/>
              </w:rPr>
              <w:t>cele</w:t>
            </w:r>
            <w:proofErr w:type="spellEnd"/>
            <w:r w:rsidRPr="004E68CB">
              <w:rPr>
                <w:rFonts w:ascii="Trebuchet MS" w:hAnsi="Trebuchet MS"/>
                <w:color w:val="1F4E79" w:themeColor="accent1" w:themeShade="80"/>
              </w:rPr>
              <w:t xml:space="preserve"> din </w:t>
            </w:r>
            <w:proofErr w:type="spellStart"/>
            <w:r w:rsidRPr="004E68CB">
              <w:rPr>
                <w:rFonts w:ascii="Trebuchet MS" w:hAnsi="Trebuchet MS"/>
                <w:color w:val="1F4E79" w:themeColor="accent1" w:themeShade="80"/>
              </w:rPr>
              <w:t>cadrul</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Ministerului</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Afacerilor</w:t>
            </w:r>
            <w:proofErr w:type="spellEnd"/>
            <w:r w:rsidRPr="004E68CB">
              <w:rPr>
                <w:rFonts w:ascii="Trebuchet MS" w:hAnsi="Trebuchet MS"/>
                <w:color w:val="1F4E79" w:themeColor="accent1" w:themeShade="80"/>
              </w:rPr>
              <w:t xml:space="preserve"> Interne (MAI). </w:t>
            </w:r>
            <w:proofErr w:type="spellStart"/>
            <w:r w:rsidRPr="004E68CB">
              <w:rPr>
                <w:rFonts w:ascii="Trebuchet MS" w:hAnsi="Trebuchet MS"/>
                <w:color w:val="1F4E79" w:themeColor="accent1" w:themeShade="80"/>
              </w:rPr>
              <w:t>În</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cadrul</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acestor</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instituții</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există</w:t>
            </w:r>
            <w:proofErr w:type="spellEnd"/>
            <w:r w:rsidRPr="004E68CB">
              <w:rPr>
                <w:rFonts w:ascii="Trebuchet MS" w:hAnsi="Trebuchet MS"/>
                <w:color w:val="1F4E79" w:themeColor="accent1" w:themeShade="80"/>
              </w:rPr>
              <w:t xml:space="preserve"> o </w:t>
            </w:r>
            <w:proofErr w:type="spellStart"/>
            <w:r w:rsidRPr="004E68CB">
              <w:rPr>
                <w:rFonts w:ascii="Trebuchet MS" w:hAnsi="Trebuchet MS"/>
                <w:color w:val="1F4E79" w:themeColor="accent1" w:themeShade="80"/>
              </w:rPr>
              <w:t>discrepanță</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semnificativă</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între</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nivelul</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costurilor</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reale</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pentru</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salarizarea</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personalului</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și</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cel</w:t>
            </w:r>
            <w:proofErr w:type="spellEnd"/>
            <w:r w:rsidRPr="004E68CB">
              <w:rPr>
                <w:rFonts w:ascii="Trebuchet MS" w:hAnsi="Trebuchet MS"/>
                <w:color w:val="1F4E79" w:themeColor="accent1" w:themeShade="80"/>
              </w:rPr>
              <w:t xml:space="preserve"> al </w:t>
            </w:r>
            <w:proofErr w:type="spellStart"/>
            <w:r w:rsidRPr="004E68CB">
              <w:rPr>
                <w:rFonts w:ascii="Trebuchet MS" w:hAnsi="Trebuchet MS"/>
                <w:color w:val="1F4E79" w:themeColor="accent1" w:themeShade="80"/>
              </w:rPr>
              <w:t>costurilor</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pentru</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deplasări</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și</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cazare</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Proiectele</w:t>
            </w:r>
            <w:proofErr w:type="spellEnd"/>
            <w:r w:rsidRPr="004E68CB">
              <w:rPr>
                <w:rFonts w:ascii="Trebuchet MS" w:hAnsi="Trebuchet MS"/>
                <w:color w:val="1F4E79" w:themeColor="accent1" w:themeShade="80"/>
              </w:rPr>
              <w:t xml:space="preserve"> care </w:t>
            </w:r>
            <w:proofErr w:type="spellStart"/>
            <w:r w:rsidRPr="004E68CB">
              <w:rPr>
                <w:rFonts w:ascii="Trebuchet MS" w:hAnsi="Trebuchet MS"/>
                <w:color w:val="1F4E79" w:themeColor="accent1" w:themeShade="80"/>
              </w:rPr>
              <w:t>implică</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activități</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transfrontaliere</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sau</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colaborări</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internaționale</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generează</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cheltuieli</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ridicate</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pentru</w:t>
            </w:r>
            <w:proofErr w:type="spellEnd"/>
            <w:r w:rsidRPr="004E68CB">
              <w:rPr>
                <w:rFonts w:ascii="Trebuchet MS" w:hAnsi="Trebuchet MS"/>
                <w:color w:val="1F4E79" w:themeColor="accent1" w:themeShade="80"/>
              </w:rPr>
              <w:t xml:space="preserve"> transport </w:t>
            </w:r>
            <w:proofErr w:type="spellStart"/>
            <w:r w:rsidRPr="004E68CB">
              <w:rPr>
                <w:rFonts w:ascii="Trebuchet MS" w:hAnsi="Trebuchet MS"/>
                <w:color w:val="1F4E79" w:themeColor="accent1" w:themeShade="80"/>
              </w:rPr>
              <w:t>și</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cazare</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mult</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peste</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ceea</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ce</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permite</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limita</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impusă</w:t>
            </w:r>
            <w:proofErr w:type="spellEnd"/>
            <w:r w:rsidRPr="004E68CB">
              <w:rPr>
                <w:rFonts w:ascii="Trebuchet MS" w:hAnsi="Trebuchet MS"/>
                <w:color w:val="1F4E79" w:themeColor="accent1" w:themeShade="80"/>
              </w:rPr>
              <w:t xml:space="preserve"> de 15%. </w:t>
            </w:r>
            <w:proofErr w:type="spellStart"/>
            <w:r w:rsidRPr="004E68CB">
              <w:rPr>
                <w:rFonts w:ascii="Trebuchet MS" w:hAnsi="Trebuchet MS"/>
                <w:color w:val="1F4E79" w:themeColor="accent1" w:themeShade="80"/>
              </w:rPr>
              <w:t>Astfel</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plafonul</w:t>
            </w:r>
            <w:proofErr w:type="spellEnd"/>
            <w:r w:rsidRPr="004E68CB">
              <w:rPr>
                <w:rFonts w:ascii="Trebuchet MS" w:hAnsi="Trebuchet MS"/>
                <w:color w:val="1F4E79" w:themeColor="accent1" w:themeShade="80"/>
              </w:rPr>
              <w:t xml:space="preserve"> actual nu </w:t>
            </w:r>
            <w:proofErr w:type="spellStart"/>
            <w:r w:rsidRPr="004E68CB">
              <w:rPr>
                <w:rFonts w:ascii="Trebuchet MS" w:hAnsi="Trebuchet MS"/>
                <w:color w:val="1F4E79" w:themeColor="accent1" w:themeShade="80"/>
              </w:rPr>
              <w:t>reflectă</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realitatea</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activităților</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derulate</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și</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poate</w:t>
            </w:r>
            <w:proofErr w:type="spellEnd"/>
            <w:r w:rsidRPr="004E68CB">
              <w:rPr>
                <w:rFonts w:ascii="Trebuchet MS" w:hAnsi="Trebuchet MS"/>
                <w:color w:val="1F4E79" w:themeColor="accent1" w:themeShade="80"/>
              </w:rPr>
              <w:t xml:space="preserve"> conduce la o </w:t>
            </w:r>
            <w:proofErr w:type="spellStart"/>
            <w:r w:rsidRPr="004E68CB">
              <w:rPr>
                <w:rFonts w:ascii="Trebuchet MS" w:hAnsi="Trebuchet MS"/>
                <w:color w:val="1F4E79" w:themeColor="accent1" w:themeShade="80"/>
              </w:rPr>
              <w:t>subfinanțare</w:t>
            </w:r>
            <w:proofErr w:type="spellEnd"/>
            <w:r w:rsidRPr="004E68CB">
              <w:rPr>
                <w:rFonts w:ascii="Trebuchet MS" w:hAnsi="Trebuchet MS"/>
                <w:color w:val="1F4E79" w:themeColor="accent1" w:themeShade="80"/>
              </w:rPr>
              <w:t xml:space="preserve"> </w:t>
            </w:r>
            <w:proofErr w:type="gramStart"/>
            <w:r w:rsidRPr="004E68CB">
              <w:rPr>
                <w:rFonts w:ascii="Trebuchet MS" w:hAnsi="Trebuchet MS"/>
                <w:color w:val="1F4E79" w:themeColor="accent1" w:themeShade="80"/>
              </w:rPr>
              <w:t>a</w:t>
            </w:r>
            <w:proofErr w:type="gram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acestor</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activități</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esențiale</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pentru</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implementarea</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proiectelor</w:t>
            </w:r>
            <w:proofErr w:type="spellEnd"/>
            <w:r w:rsidRPr="004E68CB">
              <w:rPr>
                <w:rFonts w:ascii="Trebuchet MS" w:hAnsi="Trebuchet MS"/>
                <w:color w:val="1F4E79" w:themeColor="accent1" w:themeShade="80"/>
              </w:rPr>
              <w:t>.</w:t>
            </w:r>
          </w:p>
          <w:p w14:paraId="1D932B15" w14:textId="77777777" w:rsidR="004E68CB" w:rsidRPr="004E68CB" w:rsidRDefault="004E68CB" w:rsidP="004E68CB">
            <w:pPr>
              <w:jc w:val="both"/>
              <w:rPr>
                <w:rFonts w:ascii="Trebuchet MS" w:hAnsi="Trebuchet MS"/>
                <w:color w:val="1F4E79" w:themeColor="accent1" w:themeShade="80"/>
              </w:rPr>
            </w:pPr>
            <w:proofErr w:type="spellStart"/>
            <w:r w:rsidRPr="004E68CB">
              <w:rPr>
                <w:rFonts w:ascii="Trebuchet MS" w:hAnsi="Trebuchet MS"/>
                <w:color w:val="1F4E79" w:themeColor="accent1" w:themeShade="80"/>
              </w:rPr>
              <w:t>Legislația</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națională</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aplicabilă</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acestor</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instituții</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prevede</w:t>
            </w:r>
            <w:proofErr w:type="spellEnd"/>
            <w:r w:rsidRPr="004E68CB">
              <w:rPr>
                <w:rFonts w:ascii="Trebuchet MS" w:hAnsi="Trebuchet MS"/>
                <w:color w:val="1F4E79" w:themeColor="accent1" w:themeShade="80"/>
              </w:rPr>
              <w:t xml:space="preserve"> un </w:t>
            </w:r>
            <w:proofErr w:type="spellStart"/>
            <w:r w:rsidRPr="004E68CB">
              <w:rPr>
                <w:rFonts w:ascii="Trebuchet MS" w:hAnsi="Trebuchet MS"/>
                <w:color w:val="1F4E79" w:themeColor="accent1" w:themeShade="80"/>
              </w:rPr>
              <w:t>nivel</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scăzut</w:t>
            </w:r>
            <w:proofErr w:type="spellEnd"/>
            <w:r w:rsidRPr="004E68CB">
              <w:rPr>
                <w:rFonts w:ascii="Trebuchet MS" w:hAnsi="Trebuchet MS"/>
                <w:color w:val="1F4E79" w:themeColor="accent1" w:themeShade="80"/>
              </w:rPr>
              <w:t xml:space="preserve"> al </w:t>
            </w:r>
            <w:proofErr w:type="spellStart"/>
            <w:r w:rsidRPr="004E68CB">
              <w:rPr>
                <w:rFonts w:ascii="Trebuchet MS" w:hAnsi="Trebuchet MS"/>
                <w:color w:val="1F4E79" w:themeColor="accent1" w:themeShade="80"/>
              </w:rPr>
              <w:t>costurilor</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pentru</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salarizarea</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personalului</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în</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timp</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ce</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activitățile</w:t>
            </w:r>
            <w:proofErr w:type="spellEnd"/>
            <w:r w:rsidRPr="004E68CB">
              <w:rPr>
                <w:rFonts w:ascii="Trebuchet MS" w:hAnsi="Trebuchet MS"/>
                <w:color w:val="1F4E79" w:themeColor="accent1" w:themeShade="80"/>
              </w:rPr>
              <w:t xml:space="preserve"> care </w:t>
            </w:r>
            <w:proofErr w:type="spellStart"/>
            <w:r w:rsidRPr="004E68CB">
              <w:rPr>
                <w:rFonts w:ascii="Trebuchet MS" w:hAnsi="Trebuchet MS"/>
                <w:color w:val="1F4E79" w:themeColor="accent1" w:themeShade="80"/>
              </w:rPr>
              <w:t>implică</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deplasări</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și</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cazare</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generează</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cheltuieli</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considerabil</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mai</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mari</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În</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contextul</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proiectelor</w:t>
            </w:r>
            <w:proofErr w:type="spellEnd"/>
            <w:r w:rsidRPr="004E68CB">
              <w:rPr>
                <w:rFonts w:ascii="Trebuchet MS" w:hAnsi="Trebuchet MS"/>
                <w:color w:val="1F4E79" w:themeColor="accent1" w:themeShade="80"/>
              </w:rPr>
              <w:t xml:space="preserve"> care </w:t>
            </w:r>
            <w:proofErr w:type="spellStart"/>
            <w:r w:rsidRPr="004E68CB">
              <w:rPr>
                <w:rFonts w:ascii="Trebuchet MS" w:hAnsi="Trebuchet MS"/>
                <w:color w:val="1F4E79" w:themeColor="accent1" w:themeShade="80"/>
              </w:rPr>
              <w:t>necesită</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participarea</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personalului</w:t>
            </w:r>
            <w:proofErr w:type="spellEnd"/>
            <w:r w:rsidRPr="004E68CB">
              <w:rPr>
                <w:rFonts w:ascii="Trebuchet MS" w:hAnsi="Trebuchet MS"/>
                <w:color w:val="1F4E79" w:themeColor="accent1" w:themeShade="80"/>
              </w:rPr>
              <w:t xml:space="preserve"> la </w:t>
            </w:r>
            <w:proofErr w:type="spellStart"/>
            <w:r w:rsidRPr="004E68CB">
              <w:rPr>
                <w:rFonts w:ascii="Trebuchet MS" w:hAnsi="Trebuchet MS"/>
                <w:color w:val="1F4E79" w:themeColor="accent1" w:themeShade="80"/>
              </w:rPr>
              <w:t>activități</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transfrontaliere</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sau</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întâlniri</w:t>
            </w:r>
            <w:proofErr w:type="spellEnd"/>
            <w:r w:rsidRPr="004E68CB">
              <w:rPr>
                <w:rFonts w:ascii="Trebuchet MS" w:hAnsi="Trebuchet MS"/>
                <w:color w:val="1F4E79" w:themeColor="accent1" w:themeShade="80"/>
              </w:rPr>
              <w:t xml:space="preserve"> cu </w:t>
            </w:r>
            <w:proofErr w:type="spellStart"/>
            <w:r w:rsidRPr="004E68CB">
              <w:rPr>
                <w:rFonts w:ascii="Trebuchet MS" w:hAnsi="Trebuchet MS"/>
                <w:color w:val="1F4E79" w:themeColor="accent1" w:themeShade="80"/>
              </w:rPr>
              <w:t>partenerii</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limitarea</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actuală</w:t>
            </w:r>
            <w:proofErr w:type="spellEnd"/>
            <w:r w:rsidRPr="004E68CB">
              <w:rPr>
                <w:rFonts w:ascii="Trebuchet MS" w:hAnsi="Trebuchet MS"/>
                <w:color w:val="1F4E79" w:themeColor="accent1" w:themeShade="80"/>
              </w:rPr>
              <w:t xml:space="preserve"> de 15% </w:t>
            </w:r>
            <w:proofErr w:type="spellStart"/>
            <w:r w:rsidRPr="004E68CB">
              <w:rPr>
                <w:rFonts w:ascii="Trebuchet MS" w:hAnsi="Trebuchet MS"/>
                <w:color w:val="1F4E79" w:themeColor="accent1" w:themeShade="80"/>
              </w:rPr>
              <w:t>poate</w:t>
            </w:r>
            <w:proofErr w:type="spellEnd"/>
            <w:r w:rsidRPr="004E68CB">
              <w:rPr>
                <w:rFonts w:ascii="Trebuchet MS" w:hAnsi="Trebuchet MS"/>
                <w:color w:val="1F4E79" w:themeColor="accent1" w:themeShade="80"/>
              </w:rPr>
              <w:t xml:space="preserve"> duce la </w:t>
            </w:r>
            <w:proofErr w:type="spellStart"/>
            <w:r w:rsidRPr="004E68CB">
              <w:rPr>
                <w:rFonts w:ascii="Trebuchet MS" w:hAnsi="Trebuchet MS"/>
                <w:color w:val="1F4E79" w:themeColor="accent1" w:themeShade="80"/>
              </w:rPr>
              <w:t>subfinanțarea</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acestor</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activități</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esențiale</w:t>
            </w:r>
            <w:proofErr w:type="spellEnd"/>
            <w:r w:rsidRPr="004E68CB">
              <w:rPr>
                <w:rFonts w:ascii="Trebuchet MS" w:hAnsi="Trebuchet MS"/>
                <w:color w:val="1F4E79" w:themeColor="accent1" w:themeShade="80"/>
              </w:rPr>
              <w:t>.</w:t>
            </w:r>
          </w:p>
          <w:p w14:paraId="31E88691" w14:textId="77777777" w:rsidR="004E68CB" w:rsidRPr="004E68CB" w:rsidRDefault="004E68CB" w:rsidP="004E68CB">
            <w:pPr>
              <w:jc w:val="both"/>
              <w:rPr>
                <w:rFonts w:ascii="Trebuchet MS" w:hAnsi="Trebuchet MS"/>
                <w:color w:val="1F4E79" w:themeColor="accent1" w:themeShade="80"/>
              </w:rPr>
            </w:pPr>
            <w:proofErr w:type="spellStart"/>
            <w:r w:rsidRPr="004E68CB">
              <w:rPr>
                <w:rFonts w:ascii="Trebuchet MS" w:hAnsi="Trebuchet MS"/>
                <w:color w:val="1F4E79" w:themeColor="accent1" w:themeShade="80"/>
              </w:rPr>
              <w:t>Astfel</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propunem</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includerea</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cheltuielilor</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pentru</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deplasări</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și</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cazare</w:t>
            </w:r>
            <w:proofErr w:type="spellEnd"/>
            <w:r w:rsidRPr="004E68CB">
              <w:rPr>
                <w:rFonts w:ascii="Trebuchet MS" w:hAnsi="Trebuchet MS"/>
                <w:color w:val="1F4E79" w:themeColor="accent1" w:themeShade="80"/>
              </w:rPr>
              <w:t xml:space="preserve"> („Travel and accommodation costs”), ca </w:t>
            </w:r>
            <w:proofErr w:type="spellStart"/>
            <w:r w:rsidRPr="004E68CB">
              <w:rPr>
                <w:rFonts w:ascii="Trebuchet MS" w:hAnsi="Trebuchet MS"/>
                <w:color w:val="1F4E79" w:themeColor="accent1" w:themeShade="80"/>
              </w:rPr>
              <w:t>și</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costuri</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reale</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Această</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modificare</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ar</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permite</w:t>
            </w:r>
            <w:proofErr w:type="spellEnd"/>
            <w:r w:rsidRPr="004E68CB">
              <w:rPr>
                <w:rFonts w:ascii="Trebuchet MS" w:hAnsi="Trebuchet MS"/>
                <w:color w:val="1F4E79" w:themeColor="accent1" w:themeShade="80"/>
              </w:rPr>
              <w:t xml:space="preserve"> o </w:t>
            </w:r>
            <w:proofErr w:type="spellStart"/>
            <w:r w:rsidRPr="004E68CB">
              <w:rPr>
                <w:rFonts w:ascii="Trebuchet MS" w:hAnsi="Trebuchet MS"/>
                <w:color w:val="1F4E79" w:themeColor="accent1" w:themeShade="80"/>
              </w:rPr>
              <w:t>mai</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bună</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utilizare</w:t>
            </w:r>
            <w:proofErr w:type="spellEnd"/>
            <w:r w:rsidRPr="004E68CB">
              <w:rPr>
                <w:rFonts w:ascii="Trebuchet MS" w:hAnsi="Trebuchet MS"/>
                <w:color w:val="1F4E79" w:themeColor="accent1" w:themeShade="80"/>
              </w:rPr>
              <w:t xml:space="preserve"> a </w:t>
            </w:r>
            <w:proofErr w:type="spellStart"/>
            <w:r w:rsidRPr="004E68CB">
              <w:rPr>
                <w:rFonts w:ascii="Trebuchet MS" w:hAnsi="Trebuchet MS"/>
                <w:color w:val="1F4E79" w:themeColor="accent1" w:themeShade="80"/>
              </w:rPr>
              <w:t>resurselor</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asigurând</w:t>
            </w:r>
            <w:proofErr w:type="spellEnd"/>
            <w:r w:rsidRPr="004E68CB">
              <w:rPr>
                <w:rFonts w:ascii="Trebuchet MS" w:hAnsi="Trebuchet MS"/>
                <w:color w:val="1F4E79" w:themeColor="accent1" w:themeShade="80"/>
              </w:rPr>
              <w:t xml:space="preserve"> o </w:t>
            </w:r>
            <w:proofErr w:type="spellStart"/>
            <w:r w:rsidRPr="004E68CB">
              <w:rPr>
                <w:rFonts w:ascii="Trebuchet MS" w:hAnsi="Trebuchet MS"/>
                <w:color w:val="1F4E79" w:themeColor="accent1" w:themeShade="80"/>
              </w:rPr>
              <w:t>implementare</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eficientă</w:t>
            </w:r>
            <w:proofErr w:type="spellEnd"/>
            <w:r w:rsidRPr="004E68CB">
              <w:rPr>
                <w:rFonts w:ascii="Trebuchet MS" w:hAnsi="Trebuchet MS"/>
                <w:color w:val="1F4E79" w:themeColor="accent1" w:themeShade="80"/>
              </w:rPr>
              <w:t xml:space="preserve"> a </w:t>
            </w:r>
            <w:proofErr w:type="spellStart"/>
            <w:r w:rsidRPr="004E68CB">
              <w:rPr>
                <w:rFonts w:ascii="Trebuchet MS" w:hAnsi="Trebuchet MS"/>
                <w:color w:val="1F4E79" w:themeColor="accent1" w:themeShade="80"/>
              </w:rPr>
              <w:t>proiectelor</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și</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facilitând</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participarea</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instituțiilor</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publice</w:t>
            </w:r>
            <w:proofErr w:type="spellEnd"/>
            <w:r w:rsidRPr="004E68CB">
              <w:rPr>
                <w:rFonts w:ascii="Trebuchet MS" w:hAnsi="Trebuchet MS"/>
                <w:color w:val="1F4E79" w:themeColor="accent1" w:themeShade="80"/>
              </w:rPr>
              <w:t xml:space="preserve"> la </w:t>
            </w:r>
            <w:proofErr w:type="spellStart"/>
            <w:r w:rsidRPr="004E68CB">
              <w:rPr>
                <w:rFonts w:ascii="Trebuchet MS" w:hAnsi="Trebuchet MS"/>
                <w:color w:val="1F4E79" w:themeColor="accent1" w:themeShade="80"/>
              </w:rPr>
              <w:t>inițiative</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transfrontaliere</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fără</w:t>
            </w:r>
            <w:proofErr w:type="spellEnd"/>
            <w:r w:rsidRPr="004E68CB">
              <w:rPr>
                <w:rFonts w:ascii="Trebuchet MS" w:hAnsi="Trebuchet MS"/>
                <w:color w:val="1F4E79" w:themeColor="accent1" w:themeShade="80"/>
              </w:rPr>
              <w:t xml:space="preserve"> a </w:t>
            </w:r>
            <w:proofErr w:type="spellStart"/>
            <w:r w:rsidRPr="004E68CB">
              <w:rPr>
                <w:rFonts w:ascii="Trebuchet MS" w:hAnsi="Trebuchet MS"/>
                <w:color w:val="1F4E79" w:themeColor="accent1" w:themeShade="80"/>
              </w:rPr>
              <w:t>compromite</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activitățile</w:t>
            </w:r>
            <w:proofErr w:type="spellEnd"/>
            <w:r w:rsidRPr="004E68CB">
              <w:rPr>
                <w:rFonts w:ascii="Trebuchet MS" w:hAnsi="Trebuchet MS"/>
                <w:color w:val="1F4E79" w:themeColor="accent1" w:themeShade="80"/>
              </w:rPr>
              <w:t xml:space="preserve"> din </w:t>
            </w:r>
            <w:proofErr w:type="spellStart"/>
            <w:r w:rsidRPr="004E68CB">
              <w:rPr>
                <w:rFonts w:ascii="Trebuchet MS" w:hAnsi="Trebuchet MS"/>
                <w:color w:val="1F4E79" w:themeColor="accent1" w:themeShade="80"/>
              </w:rPr>
              <w:t>cauza</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constrângerilor</w:t>
            </w:r>
            <w:proofErr w:type="spellEnd"/>
            <w:r w:rsidRPr="004E68CB">
              <w:rPr>
                <w:rFonts w:ascii="Trebuchet MS" w:hAnsi="Trebuchet MS"/>
                <w:color w:val="1F4E79" w:themeColor="accent1" w:themeShade="80"/>
              </w:rPr>
              <w:t xml:space="preserve"> </w:t>
            </w:r>
            <w:proofErr w:type="spellStart"/>
            <w:r w:rsidRPr="004E68CB">
              <w:rPr>
                <w:rFonts w:ascii="Trebuchet MS" w:hAnsi="Trebuchet MS"/>
                <w:color w:val="1F4E79" w:themeColor="accent1" w:themeShade="80"/>
              </w:rPr>
              <w:t>bugetare</w:t>
            </w:r>
            <w:proofErr w:type="spellEnd"/>
            <w:r w:rsidRPr="004E68CB">
              <w:rPr>
                <w:rFonts w:ascii="Trebuchet MS" w:hAnsi="Trebuchet MS"/>
                <w:color w:val="1F4E79" w:themeColor="accent1" w:themeShade="80"/>
              </w:rPr>
              <w:t>.</w:t>
            </w:r>
          </w:p>
          <w:p w14:paraId="2C562343" w14:textId="77777777" w:rsidR="004E68CB" w:rsidRDefault="004E68CB" w:rsidP="004E68CB">
            <w:pPr>
              <w:jc w:val="both"/>
              <w:rPr>
                <w:rFonts w:ascii="Trebuchet MS" w:hAnsi="Trebuchet MS"/>
                <w:color w:val="1F4E79" w:themeColor="accent1" w:themeShade="80"/>
              </w:rPr>
            </w:pPr>
          </w:p>
          <w:p w14:paraId="6C419DF8" w14:textId="77777777" w:rsidR="004E68CB" w:rsidRDefault="004E68CB" w:rsidP="004E68CB">
            <w:pPr>
              <w:jc w:val="both"/>
              <w:rPr>
                <w:rFonts w:ascii="Trebuchet MS" w:hAnsi="Trebuchet MS"/>
                <w:color w:val="1F4E79" w:themeColor="accent1" w:themeShade="80"/>
              </w:rPr>
            </w:pPr>
            <w:r>
              <w:rPr>
                <w:rFonts w:ascii="Trebuchet MS" w:hAnsi="Trebuchet MS"/>
                <w:color w:val="1F4E79" w:themeColor="accent1" w:themeShade="80"/>
              </w:rPr>
              <w:t>Translation in EN</w:t>
            </w:r>
          </w:p>
          <w:p w14:paraId="0DA7F511" w14:textId="77777777" w:rsidR="00767F8A" w:rsidRPr="00767F8A" w:rsidRDefault="00767F8A" w:rsidP="00767F8A">
            <w:pPr>
              <w:spacing w:before="120"/>
              <w:jc w:val="both"/>
              <w:rPr>
                <w:rFonts w:ascii="Trebuchet MS" w:hAnsi="Trebuchet MS"/>
                <w:color w:val="1F4E79" w:themeColor="accent1" w:themeShade="80"/>
              </w:rPr>
            </w:pPr>
            <w:r w:rsidRPr="00767F8A">
              <w:rPr>
                <w:rFonts w:ascii="Trebuchet MS" w:hAnsi="Trebuchet MS"/>
                <w:color w:val="1F4E79" w:themeColor="accent1" w:themeShade="80"/>
              </w:rPr>
              <w:t xml:space="preserve">Considering the public consultation of the Applicant Guide dedicated to Priority 2 – A greener region, Specific Objective 2.4. Promoting climate change adaptation and disaster risk prevention, resilience taking into account eco-system based approaches, in the context of the </w:t>
            </w:r>
            <w:proofErr w:type="spellStart"/>
            <w:r w:rsidRPr="00767F8A">
              <w:rPr>
                <w:rFonts w:ascii="Trebuchet MS" w:hAnsi="Trebuchet MS"/>
                <w:color w:val="1F4E79" w:themeColor="accent1" w:themeShade="80"/>
              </w:rPr>
              <w:t>Interreg</w:t>
            </w:r>
            <w:proofErr w:type="spellEnd"/>
            <w:r w:rsidRPr="00767F8A">
              <w:rPr>
                <w:rFonts w:ascii="Trebuchet MS" w:hAnsi="Trebuchet MS"/>
                <w:color w:val="1F4E79" w:themeColor="accent1" w:themeShade="80"/>
              </w:rPr>
              <w:t xml:space="preserve"> VI-A Romania-Bulgaria 2021-2027 </w:t>
            </w:r>
            <w:proofErr w:type="spellStart"/>
            <w:r w:rsidRPr="00767F8A">
              <w:rPr>
                <w:rFonts w:ascii="Trebuchet MS" w:hAnsi="Trebuchet MS"/>
                <w:color w:val="1F4E79" w:themeColor="accent1" w:themeShade="80"/>
              </w:rPr>
              <w:t>Programme</w:t>
            </w:r>
            <w:proofErr w:type="spellEnd"/>
            <w:r w:rsidRPr="00767F8A">
              <w:rPr>
                <w:rFonts w:ascii="Trebuchet MS" w:hAnsi="Trebuchet MS"/>
                <w:color w:val="1F4E79" w:themeColor="accent1" w:themeShade="80"/>
              </w:rPr>
              <w:t>, we propose the following amendment: introducing the option to reimburse the cost category „Travel and accommodation costs” as real costs.</w:t>
            </w:r>
          </w:p>
          <w:p w14:paraId="7F7149F0" w14:textId="68DE40B9" w:rsidR="00767F8A" w:rsidRPr="00767F8A" w:rsidRDefault="00767F8A" w:rsidP="00767F8A">
            <w:pPr>
              <w:spacing w:before="120"/>
              <w:jc w:val="both"/>
              <w:rPr>
                <w:rFonts w:ascii="Trebuchet MS" w:hAnsi="Trebuchet MS"/>
                <w:color w:val="1F4E79" w:themeColor="accent1" w:themeShade="80"/>
              </w:rPr>
            </w:pPr>
            <w:r w:rsidRPr="00767F8A">
              <w:rPr>
                <w:rFonts w:ascii="Trebuchet MS" w:hAnsi="Trebuchet MS"/>
                <w:color w:val="1F4E79" w:themeColor="accent1" w:themeShade="80"/>
              </w:rPr>
              <w:t xml:space="preserve">Currently, these costs are limited to a flat rate of up to 15% of eligible direct staff costs of the operation, a restriction that does not reflect the reality of the activities carried out by certain institutions, especially those within the Romanian Ministry of Internal Affairs (MAI). Within these institutions, there is a significant discrepancy between the level of </w:t>
            </w:r>
            <w:r w:rsidR="00424811">
              <w:rPr>
                <w:rFonts w:ascii="Trebuchet MS" w:hAnsi="Trebuchet MS"/>
                <w:color w:val="1F4E79" w:themeColor="accent1" w:themeShade="80"/>
              </w:rPr>
              <w:t>actual</w:t>
            </w:r>
            <w:r w:rsidRPr="00767F8A">
              <w:rPr>
                <w:rFonts w:ascii="Trebuchet MS" w:hAnsi="Trebuchet MS"/>
                <w:color w:val="1F4E79" w:themeColor="accent1" w:themeShade="80"/>
              </w:rPr>
              <w:t xml:space="preserve"> costs for staff and the cost for travel and accommodation. Projects involving cross-border activities or international collaborations generate high transport and accommodation costs, well above what allows the imposed limit of 15%. Thus, the current ceiling does not reflect the reality of the activities carried out and may lead to</w:t>
            </w:r>
            <w:r w:rsidRPr="00DF0A8E">
              <w:rPr>
                <w:rFonts w:ascii="Trebuchet MS" w:hAnsi="Trebuchet MS"/>
                <w:color w:val="1F4E79" w:themeColor="accent1" w:themeShade="80"/>
              </w:rPr>
              <w:t xml:space="preserve"> </w:t>
            </w:r>
            <w:r w:rsidRPr="00767F8A">
              <w:rPr>
                <w:rFonts w:ascii="Trebuchet MS" w:hAnsi="Trebuchet MS"/>
                <w:color w:val="1F4E79" w:themeColor="accent1" w:themeShade="80"/>
              </w:rPr>
              <w:t>underfunding of these activities essential for the implementation of projects.</w:t>
            </w:r>
          </w:p>
          <w:p w14:paraId="38966579" w14:textId="54EE56A8" w:rsidR="004E68CB" w:rsidRPr="00767F8A" w:rsidRDefault="00767F8A" w:rsidP="00767F8A">
            <w:pPr>
              <w:pStyle w:val="Heading1"/>
              <w:spacing w:before="120" w:beforeAutospacing="0" w:after="0" w:afterAutospacing="0"/>
              <w:jc w:val="both"/>
              <w:outlineLvl w:val="0"/>
              <w:rPr>
                <w:rFonts w:ascii="Trebuchet MS" w:eastAsiaTheme="minorHAnsi" w:hAnsi="Trebuchet MS" w:cstheme="minorBidi"/>
                <w:b w:val="0"/>
                <w:bCs w:val="0"/>
                <w:color w:val="1F4E79" w:themeColor="accent1" w:themeShade="80"/>
                <w:kern w:val="0"/>
                <w:sz w:val="22"/>
                <w:szCs w:val="22"/>
              </w:rPr>
            </w:pPr>
            <w:r w:rsidRPr="00767F8A">
              <w:rPr>
                <w:rFonts w:ascii="Trebuchet MS" w:eastAsiaTheme="minorHAnsi" w:hAnsi="Trebuchet MS" w:cstheme="minorBidi"/>
                <w:b w:val="0"/>
                <w:bCs w:val="0"/>
                <w:color w:val="1F4E79" w:themeColor="accent1" w:themeShade="80"/>
                <w:kern w:val="0"/>
                <w:sz w:val="22"/>
                <w:szCs w:val="22"/>
              </w:rPr>
              <w:t>The national legislation applicable to these institutions foreseen a low level of costs for staff, while activities involving travel and accommodation generate considerably higher expenditure. In the context of projects requiring staff participation in cross-border activities or meetings with partners, the current 15% limitation may lead to underfunding of these essential activities. Thus, we propose to reimburse travel and accommodation costs as real costs. This change would allow a better use of resources, ensuring efficient project implementation and facilitating the participation of public institutions in cross-border initiatives without compromising activities due to budgetary constraints.</w:t>
            </w:r>
          </w:p>
        </w:tc>
        <w:tc>
          <w:tcPr>
            <w:tcW w:w="2552" w:type="dxa"/>
            <w:shd w:val="clear" w:color="auto" w:fill="auto"/>
          </w:tcPr>
          <w:p w14:paraId="7CBF9D6F" w14:textId="293C8A3B" w:rsidR="004E68CB" w:rsidRDefault="004B733B" w:rsidP="004D64FC">
            <w:pPr>
              <w:jc w:val="both"/>
              <w:rPr>
                <w:rFonts w:ascii="Trebuchet MS" w:hAnsi="Trebuchet MS"/>
                <w:color w:val="1F4E79" w:themeColor="accent1" w:themeShade="80"/>
              </w:rPr>
            </w:pPr>
            <w:r>
              <w:rPr>
                <w:rFonts w:ascii="Trebuchet MS" w:hAnsi="Trebuchet MS"/>
                <w:color w:val="1F4E79" w:themeColor="accent1" w:themeShade="80"/>
              </w:rPr>
              <w:t>Not accepted</w:t>
            </w:r>
          </w:p>
        </w:tc>
        <w:tc>
          <w:tcPr>
            <w:tcW w:w="3120" w:type="dxa"/>
          </w:tcPr>
          <w:p w14:paraId="3462B362" w14:textId="74DBEB69" w:rsidR="002432F9" w:rsidRPr="001E5F6E" w:rsidRDefault="00CC0D71" w:rsidP="002432F9">
            <w:pPr>
              <w:jc w:val="both"/>
              <w:rPr>
                <w:rFonts w:ascii="Trebuchet MS" w:hAnsi="Trebuchet MS"/>
                <w:color w:val="1F4E79" w:themeColor="accent1" w:themeShade="80"/>
              </w:rPr>
            </w:pPr>
            <w:r w:rsidRPr="001E5F6E">
              <w:rPr>
                <w:rFonts w:ascii="Trebuchet MS" w:hAnsi="Trebuchet MS"/>
                <w:color w:val="1F4E79" w:themeColor="accent1" w:themeShade="80"/>
              </w:rPr>
              <w:t>We understand national budgetary constraints, but the advantages of using simplified costs options</w:t>
            </w:r>
            <w:r w:rsidR="006F3F4C" w:rsidRPr="001E5F6E">
              <w:rPr>
                <w:rFonts w:ascii="Trebuchet MS" w:hAnsi="Trebuchet MS"/>
                <w:color w:val="1F4E79" w:themeColor="accent1" w:themeShade="80"/>
              </w:rPr>
              <w:t xml:space="preserve"> (SCOs)</w:t>
            </w:r>
            <w:r w:rsidRPr="001E5F6E">
              <w:rPr>
                <w:rFonts w:ascii="Trebuchet MS" w:hAnsi="Trebuchet MS"/>
                <w:color w:val="1F4E79" w:themeColor="accent1" w:themeShade="80"/>
              </w:rPr>
              <w:t xml:space="preserve"> are more significant th</w:t>
            </w:r>
            <w:r w:rsidR="003C679A" w:rsidRPr="001E5F6E">
              <w:rPr>
                <w:rFonts w:ascii="Trebuchet MS" w:hAnsi="Trebuchet MS"/>
                <w:color w:val="1F4E79" w:themeColor="accent1" w:themeShade="80"/>
              </w:rPr>
              <w:t>an the disadvantages.</w:t>
            </w:r>
            <w:r w:rsidR="00463D5C" w:rsidRPr="001E5F6E">
              <w:rPr>
                <w:rFonts w:ascii="Trebuchet MS" w:hAnsi="Trebuchet MS"/>
                <w:color w:val="1F4E79" w:themeColor="accent1" w:themeShade="80"/>
              </w:rPr>
              <w:t xml:space="preserve"> </w:t>
            </w:r>
          </w:p>
          <w:p w14:paraId="3C574B8C" w14:textId="49888773" w:rsidR="002432F9" w:rsidRPr="001E5F6E" w:rsidRDefault="00EA3B07" w:rsidP="002432F9">
            <w:pPr>
              <w:spacing w:before="120"/>
              <w:jc w:val="both"/>
              <w:rPr>
                <w:rFonts w:ascii="Trebuchet MS" w:hAnsi="Trebuchet MS"/>
                <w:color w:val="1F4E79" w:themeColor="accent1" w:themeShade="80"/>
              </w:rPr>
            </w:pPr>
            <w:r w:rsidRPr="001E5F6E">
              <w:rPr>
                <w:rFonts w:ascii="Trebuchet MS" w:hAnsi="Trebuchet MS"/>
                <w:color w:val="1F4E79" w:themeColor="accent1" w:themeShade="80"/>
              </w:rPr>
              <w:t xml:space="preserve">Based on the European Court of Auditors recommendations (that the Commission should extend the use of lump sum and flat rate payments instead of reimbursing real costs in order to reduce the likelihood of error and the administrative burden), the </w:t>
            </w:r>
            <w:proofErr w:type="spellStart"/>
            <w:r w:rsidRPr="001E5F6E">
              <w:rPr>
                <w:rFonts w:ascii="Trebuchet MS" w:hAnsi="Trebuchet MS"/>
                <w:color w:val="1F4E79" w:themeColor="accent1" w:themeShade="80"/>
              </w:rPr>
              <w:t>Programmes</w:t>
            </w:r>
            <w:proofErr w:type="spellEnd"/>
            <w:r w:rsidRPr="001E5F6E">
              <w:rPr>
                <w:rFonts w:ascii="Trebuchet MS" w:hAnsi="Trebuchet MS"/>
                <w:color w:val="1F4E79" w:themeColor="accent1" w:themeShade="80"/>
              </w:rPr>
              <w:t xml:space="preserve"> are encouraged to use </w:t>
            </w:r>
            <w:r w:rsidR="003C679A" w:rsidRPr="001E5F6E">
              <w:rPr>
                <w:rFonts w:ascii="Trebuchet MS" w:hAnsi="Trebuchet MS"/>
                <w:color w:val="1F4E79" w:themeColor="accent1" w:themeShade="80"/>
              </w:rPr>
              <w:t xml:space="preserve">as many </w:t>
            </w:r>
            <w:r w:rsidRPr="001E5F6E">
              <w:rPr>
                <w:rFonts w:ascii="Trebuchet MS" w:hAnsi="Trebuchet MS"/>
                <w:color w:val="1F4E79" w:themeColor="accent1" w:themeShade="80"/>
              </w:rPr>
              <w:t xml:space="preserve">simplified costs </w:t>
            </w:r>
            <w:r w:rsidR="003C679A" w:rsidRPr="001E5F6E">
              <w:rPr>
                <w:rFonts w:ascii="Trebuchet MS" w:hAnsi="Trebuchet MS"/>
                <w:color w:val="1F4E79" w:themeColor="accent1" w:themeShade="80"/>
              </w:rPr>
              <w:t>as possible.</w:t>
            </w:r>
          </w:p>
          <w:p w14:paraId="3E0EA565" w14:textId="52EBFB51" w:rsidR="006F3F4C" w:rsidRPr="001E5F6E" w:rsidRDefault="006F3F4C" w:rsidP="002432F9">
            <w:pPr>
              <w:spacing w:before="120"/>
              <w:jc w:val="both"/>
              <w:rPr>
                <w:rFonts w:ascii="Trebuchet MS" w:hAnsi="Trebuchet MS"/>
                <w:color w:val="1F4E79" w:themeColor="accent1" w:themeShade="80"/>
              </w:rPr>
            </w:pPr>
            <w:r w:rsidRPr="001E5F6E">
              <w:rPr>
                <w:rFonts w:ascii="Trebuchet MS" w:hAnsi="Trebuchet MS"/>
                <w:color w:val="1F4E79" w:themeColor="accent1" w:themeShade="80"/>
              </w:rPr>
              <w:t xml:space="preserve">Using SCOs is one of the key methods of simplifying the implementation of projects, </w:t>
            </w:r>
            <w:proofErr w:type="spellStart"/>
            <w:r w:rsidRPr="001E5F6E">
              <w:rPr>
                <w:rFonts w:ascii="Trebuchet MS" w:hAnsi="Trebuchet MS"/>
                <w:color w:val="1F4E79" w:themeColor="accent1" w:themeShade="80"/>
              </w:rPr>
              <w:t>programmes</w:t>
            </w:r>
            <w:proofErr w:type="spellEnd"/>
            <w:r w:rsidRPr="001E5F6E">
              <w:rPr>
                <w:rFonts w:ascii="Trebuchet MS" w:hAnsi="Trebuchet MS"/>
                <w:color w:val="1F4E79" w:themeColor="accent1" w:themeShade="80"/>
              </w:rPr>
              <w:t xml:space="preserve">, </w:t>
            </w:r>
            <w:proofErr w:type="gramStart"/>
            <w:r w:rsidRPr="001E5F6E">
              <w:rPr>
                <w:rFonts w:ascii="Trebuchet MS" w:hAnsi="Trebuchet MS"/>
                <w:color w:val="1F4E79" w:themeColor="accent1" w:themeShade="80"/>
              </w:rPr>
              <w:t>control</w:t>
            </w:r>
            <w:proofErr w:type="gramEnd"/>
            <w:r w:rsidRPr="001E5F6E">
              <w:rPr>
                <w:rFonts w:ascii="Trebuchet MS" w:hAnsi="Trebuchet MS"/>
                <w:color w:val="1F4E79" w:themeColor="accent1" w:themeShade="80"/>
              </w:rPr>
              <w:t xml:space="preserve"> and audit procedures within a </w:t>
            </w:r>
            <w:proofErr w:type="spellStart"/>
            <w:r w:rsidRPr="001E5F6E">
              <w:rPr>
                <w:rFonts w:ascii="Trebuchet MS" w:hAnsi="Trebuchet MS"/>
                <w:color w:val="1F4E79" w:themeColor="accent1" w:themeShade="80"/>
              </w:rPr>
              <w:t>programme</w:t>
            </w:r>
            <w:proofErr w:type="spellEnd"/>
            <w:r w:rsidRPr="001E5F6E">
              <w:rPr>
                <w:rFonts w:ascii="Trebuchet MS" w:hAnsi="Trebuchet MS"/>
                <w:color w:val="1F4E79" w:themeColor="accent1" w:themeShade="80"/>
              </w:rPr>
              <w:t>.</w:t>
            </w:r>
          </w:p>
          <w:p w14:paraId="394E8D9A" w14:textId="77777777" w:rsidR="002432F9" w:rsidRPr="001E5F6E" w:rsidRDefault="002432F9" w:rsidP="002432F9">
            <w:pPr>
              <w:spacing w:before="120"/>
              <w:jc w:val="both"/>
              <w:rPr>
                <w:rFonts w:ascii="Trebuchet MS" w:hAnsi="Trebuchet MS"/>
                <w:color w:val="1F4E79" w:themeColor="accent1" w:themeShade="80"/>
              </w:rPr>
            </w:pPr>
            <w:r w:rsidRPr="001E5F6E">
              <w:rPr>
                <w:rFonts w:ascii="Trebuchet MS" w:hAnsi="Trebuchet MS"/>
                <w:color w:val="1F4E79" w:themeColor="accent1" w:themeShade="80"/>
              </w:rPr>
              <w:t>W</w:t>
            </w:r>
            <w:r w:rsidR="003C679A" w:rsidRPr="001E5F6E">
              <w:rPr>
                <w:rFonts w:ascii="Trebuchet MS" w:hAnsi="Trebuchet MS"/>
                <w:color w:val="1F4E79" w:themeColor="accent1" w:themeShade="80"/>
              </w:rPr>
              <w:t>here simplified costs are used:</w:t>
            </w:r>
          </w:p>
          <w:p w14:paraId="508CA0AA" w14:textId="159B1A20" w:rsidR="003C679A" w:rsidRPr="001E5F6E" w:rsidRDefault="003C679A" w:rsidP="002432F9">
            <w:pPr>
              <w:pStyle w:val="ListParagraph"/>
              <w:numPr>
                <w:ilvl w:val="0"/>
                <w:numId w:val="13"/>
              </w:numPr>
              <w:spacing w:before="120"/>
              <w:ind w:left="247" w:hanging="141"/>
              <w:jc w:val="both"/>
              <w:rPr>
                <w:rFonts w:ascii="Trebuchet MS" w:hAnsi="Trebuchet MS"/>
                <w:color w:val="1F4E79" w:themeColor="accent1" w:themeShade="80"/>
              </w:rPr>
            </w:pPr>
            <w:r w:rsidRPr="001E5F6E">
              <w:rPr>
                <w:rFonts w:ascii="Trebuchet MS" w:hAnsi="Trebuchet MS"/>
                <w:color w:val="1F4E79" w:themeColor="accent1" w:themeShade="80"/>
              </w:rPr>
              <w:t>the tracing of every euro of co-financed expenditure to individual supporting documents is no longer required: this is the key point of simplified cost options as it significantly alleviates the administrative burden;</w:t>
            </w:r>
          </w:p>
          <w:p w14:paraId="1FA2018D" w14:textId="77777777" w:rsidR="008A4573" w:rsidRPr="001E5F6E" w:rsidRDefault="003C679A" w:rsidP="008A4573">
            <w:pPr>
              <w:pStyle w:val="ListParagraph"/>
              <w:numPr>
                <w:ilvl w:val="0"/>
                <w:numId w:val="13"/>
              </w:numPr>
              <w:ind w:left="247" w:hanging="247"/>
              <w:jc w:val="both"/>
              <w:rPr>
                <w:rFonts w:ascii="Trebuchet MS" w:hAnsi="Trebuchet MS"/>
                <w:color w:val="1F4E79" w:themeColor="accent1" w:themeShade="80"/>
              </w:rPr>
            </w:pPr>
            <w:r w:rsidRPr="001E5F6E">
              <w:rPr>
                <w:rFonts w:ascii="Trebuchet MS" w:hAnsi="Trebuchet MS"/>
                <w:color w:val="1F4E79" w:themeColor="accent1" w:themeShade="80"/>
              </w:rPr>
              <w:t>human resources and administrative effort involved in management of the ESI Funds can be focused more on the achievement of policy objectives instead of being concentrated on collecting and verifying financial documents</w:t>
            </w:r>
            <w:r w:rsidR="006034EA" w:rsidRPr="001E5F6E">
              <w:rPr>
                <w:rFonts w:ascii="Trebuchet MS" w:hAnsi="Trebuchet MS"/>
                <w:color w:val="1F4E79" w:themeColor="accent1" w:themeShade="80"/>
              </w:rPr>
              <w:t>;</w:t>
            </w:r>
          </w:p>
          <w:p w14:paraId="2E37F66A" w14:textId="527E1F3D" w:rsidR="008A4573" w:rsidRPr="001E5F6E" w:rsidRDefault="008A4573" w:rsidP="008A4573">
            <w:pPr>
              <w:pStyle w:val="ListParagraph"/>
              <w:numPr>
                <w:ilvl w:val="0"/>
                <w:numId w:val="13"/>
              </w:numPr>
              <w:ind w:left="247" w:hanging="247"/>
              <w:jc w:val="both"/>
              <w:rPr>
                <w:rFonts w:ascii="Trebuchet MS" w:hAnsi="Trebuchet MS"/>
                <w:color w:val="1F4E79" w:themeColor="accent1" w:themeShade="80"/>
              </w:rPr>
            </w:pPr>
            <w:proofErr w:type="gramStart"/>
            <w:r w:rsidRPr="001E5F6E">
              <w:rPr>
                <w:rFonts w:ascii="Trebuchet MS" w:hAnsi="Trebuchet MS"/>
                <w:color w:val="1F4E79" w:themeColor="accent1" w:themeShade="80"/>
              </w:rPr>
              <w:t>a</w:t>
            </w:r>
            <w:proofErr w:type="gramEnd"/>
            <w:r w:rsidRPr="001E5F6E">
              <w:rPr>
                <w:rFonts w:ascii="Trebuchet MS" w:hAnsi="Trebuchet MS"/>
                <w:color w:val="1F4E79" w:themeColor="accent1" w:themeShade="80"/>
              </w:rPr>
              <w:t xml:space="preserve"> more correct use of the </w:t>
            </w:r>
            <w:proofErr w:type="spellStart"/>
            <w:r w:rsidRPr="001E5F6E">
              <w:rPr>
                <w:rFonts w:ascii="Trebuchet MS" w:hAnsi="Trebuchet MS"/>
                <w:color w:val="1F4E79" w:themeColor="accent1" w:themeShade="80"/>
              </w:rPr>
              <w:t>programme</w:t>
            </w:r>
            <w:proofErr w:type="spellEnd"/>
            <w:r w:rsidRPr="001E5F6E">
              <w:rPr>
                <w:rFonts w:ascii="Trebuchet MS" w:hAnsi="Trebuchet MS"/>
                <w:color w:val="1F4E79" w:themeColor="accent1" w:themeShade="80"/>
              </w:rPr>
              <w:t xml:space="preserve"> funds (performed </w:t>
            </w:r>
            <w:proofErr w:type="spellStart"/>
            <w:r w:rsidRPr="001E5F6E">
              <w:rPr>
                <w:rFonts w:ascii="Trebuchet MS" w:hAnsi="Trebuchet MS"/>
                <w:color w:val="1F4E79" w:themeColor="accent1" w:themeShade="80"/>
              </w:rPr>
              <w:t>programmes</w:t>
            </w:r>
            <w:proofErr w:type="spellEnd"/>
            <w:r w:rsidRPr="001E5F6E">
              <w:rPr>
                <w:rFonts w:ascii="Trebuchet MS" w:hAnsi="Trebuchet MS"/>
                <w:color w:val="1F4E79" w:themeColor="accent1" w:themeShade="80"/>
              </w:rPr>
              <w:t xml:space="preserve"> audits continuously show lower error rate).</w:t>
            </w:r>
          </w:p>
          <w:p w14:paraId="142BE72B" w14:textId="38ED7F2D" w:rsidR="008A4573" w:rsidRPr="00DF0A8E" w:rsidRDefault="008A4573" w:rsidP="008A4573">
            <w:pPr>
              <w:spacing w:before="240"/>
              <w:jc w:val="both"/>
              <w:rPr>
                <w:rFonts w:ascii="Trebuchet MS" w:hAnsi="Trebuchet MS"/>
                <w:color w:val="1F4E79" w:themeColor="accent1" w:themeShade="80"/>
              </w:rPr>
            </w:pPr>
            <w:r w:rsidRPr="001E5F6E">
              <w:rPr>
                <w:rFonts w:ascii="Trebuchet MS" w:hAnsi="Trebuchet MS"/>
                <w:color w:val="1F4E79" w:themeColor="accent1" w:themeShade="80"/>
              </w:rPr>
              <w:t>Thus, using simplified costs</w:t>
            </w:r>
            <w:r w:rsidR="00F026D8">
              <w:rPr>
                <w:rFonts w:ascii="Trebuchet MS" w:hAnsi="Trebuchet MS"/>
                <w:color w:val="1F4E79" w:themeColor="accent1" w:themeShade="80"/>
              </w:rPr>
              <w:t xml:space="preserve"> option</w:t>
            </w:r>
            <w:r w:rsidRPr="001E5F6E">
              <w:rPr>
                <w:rFonts w:ascii="Trebuchet MS" w:hAnsi="Trebuchet MS"/>
                <w:color w:val="1F4E79" w:themeColor="accent1" w:themeShade="80"/>
              </w:rPr>
              <w:t xml:space="preserve"> allows</w:t>
            </w:r>
            <w:r w:rsidR="00270F94" w:rsidRPr="001E5F6E">
              <w:rPr>
                <w:rFonts w:ascii="Trebuchet MS" w:hAnsi="Trebuchet MS"/>
                <w:color w:val="1F4E79" w:themeColor="accent1" w:themeShade="80"/>
              </w:rPr>
              <w:t xml:space="preserve"> both</w:t>
            </w:r>
            <w:r w:rsidRPr="001E5F6E">
              <w:rPr>
                <w:rFonts w:ascii="Trebuchet MS" w:hAnsi="Trebuchet MS"/>
                <w:color w:val="1F4E79" w:themeColor="accent1" w:themeShade="80"/>
              </w:rPr>
              <w:t xml:space="preserve"> </w:t>
            </w:r>
            <w:proofErr w:type="spellStart"/>
            <w:r w:rsidRPr="001E5F6E">
              <w:rPr>
                <w:rFonts w:ascii="Trebuchet MS" w:hAnsi="Trebuchet MS"/>
                <w:color w:val="1F4E79" w:themeColor="accent1" w:themeShade="80"/>
              </w:rPr>
              <w:t>Interreg</w:t>
            </w:r>
            <w:proofErr w:type="spellEnd"/>
            <w:r w:rsidRPr="001E5F6E">
              <w:rPr>
                <w:rFonts w:ascii="Trebuchet MS" w:hAnsi="Trebuchet MS"/>
                <w:color w:val="1F4E79" w:themeColor="accent1" w:themeShade="80"/>
              </w:rPr>
              <w:t xml:space="preserve"> </w:t>
            </w:r>
            <w:proofErr w:type="spellStart"/>
            <w:r w:rsidRPr="001E5F6E">
              <w:rPr>
                <w:rFonts w:ascii="Trebuchet MS" w:hAnsi="Trebuchet MS"/>
                <w:color w:val="1F4E79" w:themeColor="accent1" w:themeShade="80"/>
              </w:rPr>
              <w:t>Programmes</w:t>
            </w:r>
            <w:proofErr w:type="spellEnd"/>
            <w:r w:rsidRPr="001E5F6E">
              <w:rPr>
                <w:rFonts w:ascii="Trebuchet MS" w:hAnsi="Trebuchet MS"/>
                <w:color w:val="1F4E79" w:themeColor="accent1" w:themeShade="80"/>
              </w:rPr>
              <w:t xml:space="preserve"> and project partners involved to significantly reduce the administrative burden, focus on results, rather than tracing every euro. </w:t>
            </w:r>
          </w:p>
        </w:tc>
      </w:tr>
    </w:tbl>
    <w:p w14:paraId="6B878F8E" w14:textId="77777777" w:rsidR="00334868" w:rsidRPr="00844CB0" w:rsidRDefault="00334868" w:rsidP="00844CB0">
      <w:pPr>
        <w:rPr>
          <w:rFonts w:ascii="Trebuchet MS" w:eastAsia="Times New Roman" w:hAnsi="Trebuchet MS" w:cs="Arial"/>
          <w:sz w:val="24"/>
          <w:szCs w:val="24"/>
          <w:lang w:val="en-GB"/>
        </w:rPr>
      </w:pPr>
    </w:p>
    <w:sectPr w:rsidR="00334868" w:rsidRPr="00844CB0" w:rsidSect="00735F5E">
      <w:headerReference w:type="default" r:id="rId8"/>
      <w:pgSz w:w="15840" w:h="12240" w:orient="landscape" w:code="1"/>
      <w:pgMar w:top="1440" w:right="1665" w:bottom="851" w:left="1440" w:header="630"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F9092" w16cex:dateUtc="2024-04-09T07: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9C1776" w16cid:durableId="29BF909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3A3B7" w14:textId="77777777" w:rsidR="004D0668" w:rsidRDefault="004D0668" w:rsidP="00046F0A">
      <w:pPr>
        <w:spacing w:after="0" w:line="240" w:lineRule="auto"/>
      </w:pPr>
      <w:r>
        <w:separator/>
      </w:r>
    </w:p>
  </w:endnote>
  <w:endnote w:type="continuationSeparator" w:id="0">
    <w:p w14:paraId="3DB702CC" w14:textId="77777777" w:rsidR="004D0668" w:rsidRDefault="004D0668" w:rsidP="00046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3ADD6" w14:textId="77777777" w:rsidR="004D0668" w:rsidRDefault="004D0668" w:rsidP="00046F0A">
      <w:pPr>
        <w:spacing w:after="0" w:line="240" w:lineRule="auto"/>
      </w:pPr>
      <w:r>
        <w:separator/>
      </w:r>
    </w:p>
  </w:footnote>
  <w:footnote w:type="continuationSeparator" w:id="0">
    <w:p w14:paraId="1CCC4D98" w14:textId="77777777" w:rsidR="004D0668" w:rsidRDefault="004D0668" w:rsidP="00046F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9027E" w14:textId="77777777" w:rsidR="0026377E" w:rsidRPr="00735F5E" w:rsidRDefault="00046F0A" w:rsidP="0026377E">
    <w:pPr>
      <w:spacing w:after="0" w:line="480" w:lineRule="auto"/>
      <w:jc w:val="both"/>
      <w:rPr>
        <w:rFonts w:ascii="Trebuchet MS" w:eastAsia="Times New Roman" w:hAnsi="Trebuchet MS" w:cs="Arial"/>
        <w:b/>
        <w:bCs/>
        <w:color w:val="1F4E79" w:themeColor="accent1" w:themeShade="80"/>
        <w:lang w:val="en-GB"/>
      </w:rPr>
    </w:pPr>
    <w:r w:rsidRPr="00046F0A">
      <w:rPr>
        <w:noProof/>
      </w:rPr>
      <w:drawing>
        <wp:inline distT="0" distB="0" distL="0" distR="0" wp14:anchorId="1EE6519F" wp14:editId="04D60FF8">
          <wp:extent cx="2914650" cy="852748"/>
          <wp:effectExtent l="0" t="0" r="0" b="5080"/>
          <wp:docPr id="15" name="image1.jpeg"/>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4650" cy="852748"/>
                  </a:xfrm>
                  <a:prstGeom prst="rect">
                    <a:avLst/>
                  </a:prstGeom>
                </pic:spPr>
              </pic:pic>
            </a:graphicData>
          </a:graphic>
        </wp:inline>
      </w:drawing>
    </w:r>
    <w:r w:rsidR="0026377E">
      <w:tab/>
    </w:r>
    <w:r w:rsidR="0026377E">
      <w:tab/>
    </w:r>
    <w:r w:rsidR="0026377E" w:rsidRPr="00735F5E">
      <w:rPr>
        <w:rFonts w:ascii="Trebuchet MS" w:eastAsia="Times New Roman" w:hAnsi="Trebuchet MS" w:cs="Arial"/>
        <w:b/>
        <w:bCs/>
        <w:color w:val="1F4E79" w:themeColor="accent1" w:themeShade="80"/>
        <w:lang w:val="en-GB"/>
      </w:rPr>
      <w:t>Comments/proposals received during the consultation process</w:t>
    </w:r>
  </w:p>
  <w:p w14:paraId="381B70B9" w14:textId="5727FEB3" w:rsidR="00EE4B40" w:rsidRPr="00EE4B40" w:rsidRDefault="00735F5E" w:rsidP="00EE4B40">
    <w:pPr>
      <w:jc w:val="both"/>
      <w:rPr>
        <w:rFonts w:ascii="Trebuchet MS" w:eastAsia="Times New Roman" w:hAnsi="Trebuchet MS" w:cs="Arial"/>
        <w:b/>
        <w:bCs/>
        <w:color w:val="1F4E79" w:themeColor="accent1" w:themeShade="80"/>
        <w:lang w:val="en-GB"/>
      </w:rPr>
    </w:pPr>
    <w:r w:rsidRPr="00735F5E">
      <w:rPr>
        <w:rFonts w:ascii="Trebuchet MS" w:eastAsia="Times New Roman" w:hAnsi="Trebuchet MS" w:cs="Arial"/>
        <w:b/>
        <w:bCs/>
        <w:color w:val="1F4E79" w:themeColor="accent1" w:themeShade="80"/>
        <w:lang w:val="en-GB"/>
      </w:rPr>
      <w:t xml:space="preserve">APPLICANT’S GUIDE </w:t>
    </w:r>
    <w:r w:rsidR="00EE4B40" w:rsidRPr="00EE4B40">
      <w:rPr>
        <w:rFonts w:ascii="Trebuchet MS" w:eastAsia="Times New Roman" w:hAnsi="Trebuchet MS" w:cs="Arial"/>
        <w:b/>
        <w:bCs/>
        <w:color w:val="1F4E79" w:themeColor="accent1" w:themeShade="80"/>
        <w:lang w:val="en-GB"/>
      </w:rPr>
      <w:t>O</w:t>
    </w:r>
    <w:r w:rsidR="00EE4B40">
      <w:rPr>
        <w:rFonts w:ascii="Trebuchet MS" w:eastAsia="Times New Roman" w:hAnsi="Trebuchet MS" w:cs="Arial"/>
        <w:b/>
        <w:bCs/>
        <w:color w:val="1F4E79" w:themeColor="accent1" w:themeShade="80"/>
        <w:lang w:val="en-GB"/>
      </w:rPr>
      <w:t>PEN CALL FOR THE OPERATIONS UNDER</w:t>
    </w:r>
    <w:r w:rsidR="00EE4B40" w:rsidRPr="00EE4B40">
      <w:rPr>
        <w:rFonts w:ascii="Trebuchet MS" w:eastAsia="Times New Roman" w:hAnsi="Trebuchet MS" w:cs="Arial"/>
        <w:b/>
        <w:bCs/>
        <w:color w:val="1F4E79" w:themeColor="accent1" w:themeShade="80"/>
        <w:lang w:val="en-GB"/>
      </w:rPr>
      <w:t xml:space="preserve"> PO </w:t>
    </w:r>
    <w:r w:rsidR="00462EBA">
      <w:rPr>
        <w:rFonts w:ascii="Trebuchet MS" w:eastAsia="Times New Roman" w:hAnsi="Trebuchet MS" w:cs="Arial"/>
        <w:b/>
        <w:bCs/>
        <w:color w:val="1F4E79" w:themeColor="accent1" w:themeShade="80"/>
        <w:lang w:val="en-GB"/>
      </w:rPr>
      <w:t>2</w:t>
    </w:r>
    <w:r w:rsidR="00EE4B40" w:rsidRPr="00EE4B40">
      <w:rPr>
        <w:rFonts w:ascii="Trebuchet MS" w:eastAsia="Times New Roman" w:hAnsi="Trebuchet MS" w:cs="Arial"/>
        <w:b/>
        <w:bCs/>
        <w:color w:val="1F4E79" w:themeColor="accent1" w:themeShade="80"/>
        <w:lang w:val="en-GB"/>
      </w:rPr>
      <w:t>, P</w:t>
    </w:r>
    <w:r w:rsidR="00EE4B40">
      <w:rPr>
        <w:rFonts w:ascii="Trebuchet MS" w:eastAsia="Times New Roman" w:hAnsi="Trebuchet MS" w:cs="Arial"/>
        <w:b/>
        <w:bCs/>
        <w:color w:val="1F4E79" w:themeColor="accent1" w:themeShade="80"/>
        <w:lang w:val="en-GB"/>
      </w:rPr>
      <w:t>RIORITY</w:t>
    </w:r>
    <w:r w:rsidR="00EE4B40" w:rsidRPr="00EE4B40">
      <w:rPr>
        <w:rFonts w:ascii="Trebuchet MS" w:eastAsia="Times New Roman" w:hAnsi="Trebuchet MS" w:cs="Arial"/>
        <w:b/>
        <w:bCs/>
        <w:color w:val="1F4E79" w:themeColor="accent1" w:themeShade="80"/>
        <w:lang w:val="en-GB"/>
      </w:rPr>
      <w:t xml:space="preserve"> </w:t>
    </w:r>
    <w:r w:rsidR="00462EBA">
      <w:rPr>
        <w:rFonts w:ascii="Trebuchet MS" w:eastAsia="Times New Roman" w:hAnsi="Trebuchet MS" w:cs="Arial"/>
        <w:b/>
        <w:bCs/>
        <w:color w:val="1F4E79" w:themeColor="accent1" w:themeShade="80"/>
        <w:lang w:val="en-GB"/>
      </w:rPr>
      <w:t>2 A</w:t>
    </w:r>
    <w:r w:rsidR="00EE4B40" w:rsidRPr="00EE4B40">
      <w:rPr>
        <w:rFonts w:ascii="Trebuchet MS" w:eastAsia="Times New Roman" w:hAnsi="Trebuchet MS" w:cs="Arial"/>
        <w:b/>
        <w:bCs/>
        <w:color w:val="1F4E79" w:themeColor="accent1" w:themeShade="80"/>
        <w:lang w:val="en-GB"/>
      </w:rPr>
      <w:t xml:space="preserve"> </w:t>
    </w:r>
    <w:r w:rsidR="00462EBA">
      <w:rPr>
        <w:rFonts w:ascii="Trebuchet MS" w:eastAsia="Times New Roman" w:hAnsi="Trebuchet MS" w:cs="Arial"/>
        <w:b/>
        <w:bCs/>
        <w:color w:val="1F4E79" w:themeColor="accent1" w:themeShade="80"/>
        <w:lang w:val="en-GB"/>
      </w:rPr>
      <w:t>GREENER REGION</w:t>
    </w:r>
    <w:r w:rsidR="00EE4B40" w:rsidRPr="00EE4B40">
      <w:rPr>
        <w:rFonts w:ascii="Trebuchet MS" w:eastAsia="Times New Roman" w:hAnsi="Trebuchet MS" w:cs="Arial"/>
        <w:b/>
        <w:bCs/>
        <w:color w:val="1F4E79" w:themeColor="accent1" w:themeShade="80"/>
        <w:lang w:val="en-GB"/>
      </w:rPr>
      <w:t xml:space="preserve">, SO </w:t>
    </w:r>
    <w:r w:rsidR="00462EBA">
      <w:rPr>
        <w:rFonts w:ascii="Trebuchet MS" w:eastAsia="Times New Roman" w:hAnsi="Trebuchet MS" w:cs="Arial"/>
        <w:b/>
        <w:bCs/>
        <w:color w:val="1F4E79" w:themeColor="accent1" w:themeShade="80"/>
        <w:lang w:val="en-GB"/>
      </w:rPr>
      <w:t>2.4</w:t>
    </w:r>
  </w:p>
  <w:p w14:paraId="75215EAE" w14:textId="78AF5767" w:rsidR="00046F0A" w:rsidRPr="00735F5E" w:rsidRDefault="00046F0A" w:rsidP="00735F5E">
    <w:pPr>
      <w:pStyle w:val="Header"/>
      <w:tabs>
        <w:tab w:val="left" w:pos="5587"/>
      </w:tabs>
      <w:jc w:val="center"/>
      <w:rPr>
        <w:rFonts w:ascii="Trebuchet MS" w:eastAsia="Times New Roman" w:hAnsi="Trebuchet MS" w:cs="Arial"/>
        <w:b/>
        <w:bCs/>
        <w:color w:val="1F4E79" w:themeColor="accent1" w:themeShade="8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5.7pt;height:5in" o:bullet="t">
        <v:imagedata r:id="rId1" o:title=""/>
      </v:shape>
    </w:pict>
  </w:numPicBullet>
  <w:abstractNum w:abstractNumId="0" w15:restartNumberingAfterBreak="0">
    <w:nsid w:val="00F02344"/>
    <w:multiLevelType w:val="hybridMultilevel"/>
    <w:tmpl w:val="AF3C4810"/>
    <w:lvl w:ilvl="0" w:tplc="BB5A08D4">
      <w:numFmt w:val="bullet"/>
      <w:lvlText w:val="-"/>
      <w:lvlJc w:val="left"/>
      <w:pPr>
        <w:ind w:left="720" w:hanging="360"/>
      </w:pPr>
      <w:rPr>
        <w:rFonts w:ascii="Trebuchet MS" w:eastAsia="Times New Roman" w:hAnsi="Trebuchet M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95DDB"/>
    <w:multiLevelType w:val="hybridMultilevel"/>
    <w:tmpl w:val="2D3E182C"/>
    <w:lvl w:ilvl="0" w:tplc="2B2A6092">
      <w:start w:val="1"/>
      <w:numFmt w:val="upperRoman"/>
      <w:lvlText w:val="%1."/>
      <w:lvlJc w:val="left"/>
      <w:pPr>
        <w:ind w:left="1080" w:hanging="720"/>
      </w:pPr>
      <w:rPr>
        <w:rFonts w:ascii="Trebuchet MS" w:hAnsi="Trebuchet M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300BD"/>
    <w:multiLevelType w:val="hybridMultilevel"/>
    <w:tmpl w:val="A3FEC814"/>
    <w:lvl w:ilvl="0" w:tplc="74A0B384">
      <w:start w:val="1"/>
      <w:numFmt w:val="bullet"/>
      <w:lvlText w:val=""/>
      <w:lvlPicBulletId w:val="0"/>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21676F"/>
    <w:multiLevelType w:val="hybridMultilevel"/>
    <w:tmpl w:val="BF861EEC"/>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753BC1"/>
    <w:multiLevelType w:val="hybridMultilevel"/>
    <w:tmpl w:val="0582A45C"/>
    <w:lvl w:ilvl="0" w:tplc="340E7C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C17C7"/>
    <w:multiLevelType w:val="hybridMultilevel"/>
    <w:tmpl w:val="F33E387C"/>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E51E7A"/>
    <w:multiLevelType w:val="hybridMultilevel"/>
    <w:tmpl w:val="70BEB5B6"/>
    <w:lvl w:ilvl="0" w:tplc="1F880524">
      <w:start w:val="2"/>
      <w:numFmt w:val="upperRoman"/>
      <w:lvlText w:val="%1&gt;"/>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905C80"/>
    <w:multiLevelType w:val="hybridMultilevel"/>
    <w:tmpl w:val="E7B8FE5E"/>
    <w:lvl w:ilvl="0" w:tplc="DA0A356C">
      <w:start w:val="1"/>
      <w:numFmt w:val="upperRoman"/>
      <w:lvlText w:val="%1."/>
      <w:lvlJc w:val="left"/>
      <w:pPr>
        <w:ind w:left="1800" w:hanging="720"/>
      </w:pPr>
      <w:rPr>
        <w:rFonts w:ascii="Trebuchet MS" w:hAnsi="Trebuchet MS" w:hint="default"/>
        <w:b/>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9086023"/>
    <w:multiLevelType w:val="hybridMultilevel"/>
    <w:tmpl w:val="A7B0B0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AD7A94"/>
    <w:multiLevelType w:val="hybridMultilevel"/>
    <w:tmpl w:val="9CB452EC"/>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302F77"/>
    <w:multiLevelType w:val="hybridMultilevel"/>
    <w:tmpl w:val="50E60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857246"/>
    <w:multiLevelType w:val="hybridMultilevel"/>
    <w:tmpl w:val="64CE9260"/>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2F5386"/>
    <w:multiLevelType w:val="hybridMultilevel"/>
    <w:tmpl w:val="F7B6AC02"/>
    <w:lvl w:ilvl="0" w:tplc="04090001">
      <w:start w:val="1"/>
      <w:numFmt w:val="bullet"/>
      <w:lvlText w:val=""/>
      <w:lvlJc w:val="left"/>
      <w:pPr>
        <w:ind w:left="720" w:hanging="360"/>
      </w:pPr>
      <w:rPr>
        <w:rFonts w:ascii="Symbol" w:hAnsi="Symbol" w:hint="default"/>
      </w:rPr>
    </w:lvl>
    <w:lvl w:ilvl="1" w:tplc="74A0B384">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10"/>
  </w:num>
  <w:num w:numId="5">
    <w:abstractNumId w:val="7"/>
  </w:num>
  <w:num w:numId="6">
    <w:abstractNumId w:val="12"/>
  </w:num>
  <w:num w:numId="7">
    <w:abstractNumId w:val="8"/>
  </w:num>
  <w:num w:numId="8">
    <w:abstractNumId w:val="5"/>
  </w:num>
  <w:num w:numId="9">
    <w:abstractNumId w:val="11"/>
  </w:num>
  <w:num w:numId="10">
    <w:abstractNumId w:val="2"/>
  </w:num>
  <w:num w:numId="11">
    <w:abstractNumId w:val="9"/>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F0A"/>
    <w:rsid w:val="00010FF7"/>
    <w:rsid w:val="000111E6"/>
    <w:rsid w:val="000129EC"/>
    <w:rsid w:val="00014E7F"/>
    <w:rsid w:val="00044CC9"/>
    <w:rsid w:val="00046F0A"/>
    <w:rsid w:val="000634B3"/>
    <w:rsid w:val="00064A0C"/>
    <w:rsid w:val="00074BF2"/>
    <w:rsid w:val="000A76C5"/>
    <w:rsid w:val="000B0F8A"/>
    <w:rsid w:val="000D6B49"/>
    <w:rsid w:val="000E2D76"/>
    <w:rsid w:val="00100288"/>
    <w:rsid w:val="00101ACF"/>
    <w:rsid w:val="00104388"/>
    <w:rsid w:val="00105A44"/>
    <w:rsid w:val="001206E8"/>
    <w:rsid w:val="0012341B"/>
    <w:rsid w:val="00123CF6"/>
    <w:rsid w:val="001317F6"/>
    <w:rsid w:val="001636AE"/>
    <w:rsid w:val="00171989"/>
    <w:rsid w:val="00180DE9"/>
    <w:rsid w:val="001A086F"/>
    <w:rsid w:val="001C4054"/>
    <w:rsid w:val="001D392A"/>
    <w:rsid w:val="001D7DEE"/>
    <w:rsid w:val="001E3284"/>
    <w:rsid w:val="001E32AC"/>
    <w:rsid w:val="001E5F6E"/>
    <w:rsid w:val="00204C6F"/>
    <w:rsid w:val="00220E40"/>
    <w:rsid w:val="002432F9"/>
    <w:rsid w:val="002475EA"/>
    <w:rsid w:val="0026377E"/>
    <w:rsid w:val="00270F94"/>
    <w:rsid w:val="00283369"/>
    <w:rsid w:val="00293CEA"/>
    <w:rsid w:val="002970EA"/>
    <w:rsid w:val="002B7D96"/>
    <w:rsid w:val="002E15A1"/>
    <w:rsid w:val="00303285"/>
    <w:rsid w:val="003275A5"/>
    <w:rsid w:val="003347F7"/>
    <w:rsid w:val="00334868"/>
    <w:rsid w:val="00352AAA"/>
    <w:rsid w:val="00354E9D"/>
    <w:rsid w:val="00360078"/>
    <w:rsid w:val="003671CA"/>
    <w:rsid w:val="00386ECB"/>
    <w:rsid w:val="00390AC7"/>
    <w:rsid w:val="003C679A"/>
    <w:rsid w:val="003F2428"/>
    <w:rsid w:val="00407311"/>
    <w:rsid w:val="00424811"/>
    <w:rsid w:val="004567D4"/>
    <w:rsid w:val="00462D6E"/>
    <w:rsid w:val="00462EBA"/>
    <w:rsid w:val="00463D5C"/>
    <w:rsid w:val="00470BB0"/>
    <w:rsid w:val="00473D7F"/>
    <w:rsid w:val="00480AB1"/>
    <w:rsid w:val="004841BC"/>
    <w:rsid w:val="0048674B"/>
    <w:rsid w:val="00497E89"/>
    <w:rsid w:val="004B733B"/>
    <w:rsid w:val="004C65C1"/>
    <w:rsid w:val="004D0668"/>
    <w:rsid w:val="004D64FC"/>
    <w:rsid w:val="004E1BB8"/>
    <w:rsid w:val="004E68CB"/>
    <w:rsid w:val="004F1ED7"/>
    <w:rsid w:val="004F676C"/>
    <w:rsid w:val="00504D15"/>
    <w:rsid w:val="00513469"/>
    <w:rsid w:val="0055492C"/>
    <w:rsid w:val="00584679"/>
    <w:rsid w:val="005B476E"/>
    <w:rsid w:val="005C7004"/>
    <w:rsid w:val="005D1AEE"/>
    <w:rsid w:val="005D72F1"/>
    <w:rsid w:val="005D7390"/>
    <w:rsid w:val="005F1ACE"/>
    <w:rsid w:val="006034EA"/>
    <w:rsid w:val="006138CB"/>
    <w:rsid w:val="006154CA"/>
    <w:rsid w:val="00630437"/>
    <w:rsid w:val="006461C8"/>
    <w:rsid w:val="00664648"/>
    <w:rsid w:val="00681830"/>
    <w:rsid w:val="0068269D"/>
    <w:rsid w:val="00685A51"/>
    <w:rsid w:val="00694C50"/>
    <w:rsid w:val="006A0DD8"/>
    <w:rsid w:val="006A2102"/>
    <w:rsid w:val="006B4975"/>
    <w:rsid w:val="006B75F8"/>
    <w:rsid w:val="006F23E6"/>
    <w:rsid w:val="006F3F4C"/>
    <w:rsid w:val="00713409"/>
    <w:rsid w:val="007342B3"/>
    <w:rsid w:val="00735F5E"/>
    <w:rsid w:val="007604F2"/>
    <w:rsid w:val="00767F8A"/>
    <w:rsid w:val="0077266B"/>
    <w:rsid w:val="00790DCB"/>
    <w:rsid w:val="007B3F5D"/>
    <w:rsid w:val="007C311F"/>
    <w:rsid w:val="007C6068"/>
    <w:rsid w:val="0080566F"/>
    <w:rsid w:val="00816754"/>
    <w:rsid w:val="00824C1E"/>
    <w:rsid w:val="00824CF2"/>
    <w:rsid w:val="00844CB0"/>
    <w:rsid w:val="00852FA3"/>
    <w:rsid w:val="00857618"/>
    <w:rsid w:val="00894DFB"/>
    <w:rsid w:val="008A4573"/>
    <w:rsid w:val="008C4DC9"/>
    <w:rsid w:val="008D1B2F"/>
    <w:rsid w:val="008E6163"/>
    <w:rsid w:val="009030CB"/>
    <w:rsid w:val="00941ED6"/>
    <w:rsid w:val="009614D3"/>
    <w:rsid w:val="00972980"/>
    <w:rsid w:val="00980800"/>
    <w:rsid w:val="009862EC"/>
    <w:rsid w:val="009935DE"/>
    <w:rsid w:val="00994E7D"/>
    <w:rsid w:val="009B302D"/>
    <w:rsid w:val="009B76A7"/>
    <w:rsid w:val="009C2E40"/>
    <w:rsid w:val="009D3956"/>
    <w:rsid w:val="009E3794"/>
    <w:rsid w:val="009E4812"/>
    <w:rsid w:val="009F136C"/>
    <w:rsid w:val="00A07573"/>
    <w:rsid w:val="00A10AE0"/>
    <w:rsid w:val="00A22A27"/>
    <w:rsid w:val="00A319E9"/>
    <w:rsid w:val="00A32DB3"/>
    <w:rsid w:val="00A35CAE"/>
    <w:rsid w:val="00A44C66"/>
    <w:rsid w:val="00A52A20"/>
    <w:rsid w:val="00A934E6"/>
    <w:rsid w:val="00A97A0B"/>
    <w:rsid w:val="00AA579C"/>
    <w:rsid w:val="00AC739D"/>
    <w:rsid w:val="00AD0B69"/>
    <w:rsid w:val="00AD75AA"/>
    <w:rsid w:val="00AE24B8"/>
    <w:rsid w:val="00AE6920"/>
    <w:rsid w:val="00B019C6"/>
    <w:rsid w:val="00B262EE"/>
    <w:rsid w:val="00B34C52"/>
    <w:rsid w:val="00B36021"/>
    <w:rsid w:val="00BA1B07"/>
    <w:rsid w:val="00BB1954"/>
    <w:rsid w:val="00BE0BE2"/>
    <w:rsid w:val="00BE635D"/>
    <w:rsid w:val="00BF7007"/>
    <w:rsid w:val="00C640EF"/>
    <w:rsid w:val="00C74F08"/>
    <w:rsid w:val="00C8702A"/>
    <w:rsid w:val="00C878F3"/>
    <w:rsid w:val="00CA4A57"/>
    <w:rsid w:val="00CB3F09"/>
    <w:rsid w:val="00CB5A11"/>
    <w:rsid w:val="00CC0D71"/>
    <w:rsid w:val="00CC4AB9"/>
    <w:rsid w:val="00CD05A1"/>
    <w:rsid w:val="00CD4F60"/>
    <w:rsid w:val="00CD77B4"/>
    <w:rsid w:val="00CE2FBD"/>
    <w:rsid w:val="00CE6650"/>
    <w:rsid w:val="00CF187B"/>
    <w:rsid w:val="00D01B59"/>
    <w:rsid w:val="00D15E53"/>
    <w:rsid w:val="00D32D2C"/>
    <w:rsid w:val="00D34D4D"/>
    <w:rsid w:val="00D34DFD"/>
    <w:rsid w:val="00D37F64"/>
    <w:rsid w:val="00D47734"/>
    <w:rsid w:val="00D743BB"/>
    <w:rsid w:val="00D83B3C"/>
    <w:rsid w:val="00D93467"/>
    <w:rsid w:val="00DA230A"/>
    <w:rsid w:val="00DC7CFC"/>
    <w:rsid w:val="00DD0EB1"/>
    <w:rsid w:val="00DE4B12"/>
    <w:rsid w:val="00DE537C"/>
    <w:rsid w:val="00DF0A8E"/>
    <w:rsid w:val="00DF625F"/>
    <w:rsid w:val="00DF7E44"/>
    <w:rsid w:val="00E00DFA"/>
    <w:rsid w:val="00E153DE"/>
    <w:rsid w:val="00E23B3B"/>
    <w:rsid w:val="00E53BEF"/>
    <w:rsid w:val="00EA3B07"/>
    <w:rsid w:val="00EA54E1"/>
    <w:rsid w:val="00ED0029"/>
    <w:rsid w:val="00EE2220"/>
    <w:rsid w:val="00EE4B40"/>
    <w:rsid w:val="00F026D8"/>
    <w:rsid w:val="00F05534"/>
    <w:rsid w:val="00F07195"/>
    <w:rsid w:val="00F33504"/>
    <w:rsid w:val="00F422D1"/>
    <w:rsid w:val="00F64576"/>
    <w:rsid w:val="00F87ECA"/>
    <w:rsid w:val="00F92774"/>
    <w:rsid w:val="00FA1F89"/>
    <w:rsid w:val="00FB433B"/>
    <w:rsid w:val="00FB7060"/>
    <w:rsid w:val="00FC2AFE"/>
    <w:rsid w:val="00FC569A"/>
    <w:rsid w:val="00FE5431"/>
    <w:rsid w:val="00FE7431"/>
    <w:rsid w:val="00FF3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CDD9C"/>
  <w15:chartTrackingRefBased/>
  <w15:docId w15:val="{D4FF4E0F-08F0-4F8D-B700-5C51F33B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67F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6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ERP-List Paragraph,List Paragraph11,Bullet EY,List Paragraph1,Normal bullet 2,Forth level,Bullet 1,Table of contents numbered,A_wyliczenie,K-P_odwolanie,Akapit z listą5,maz_wyliczenie,opis dzialania,Akapit z listą BS,Outlines a.b.c.,3,bu"/>
    <w:basedOn w:val="Normal"/>
    <w:link w:val="ListParagraphChar"/>
    <w:uiPriority w:val="34"/>
    <w:qFormat/>
    <w:rsid w:val="00046F0A"/>
    <w:pPr>
      <w:ind w:left="720"/>
      <w:contextualSpacing/>
    </w:pPr>
  </w:style>
  <w:style w:type="paragraph" w:styleId="Header">
    <w:name w:val="header"/>
    <w:basedOn w:val="Normal"/>
    <w:link w:val="HeaderChar"/>
    <w:uiPriority w:val="99"/>
    <w:unhideWhenUsed/>
    <w:rsid w:val="00046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F0A"/>
  </w:style>
  <w:style w:type="paragraph" w:styleId="Footer">
    <w:name w:val="footer"/>
    <w:basedOn w:val="Normal"/>
    <w:link w:val="FooterChar"/>
    <w:uiPriority w:val="99"/>
    <w:unhideWhenUsed/>
    <w:rsid w:val="00046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F0A"/>
  </w:style>
  <w:style w:type="character" w:styleId="Hyperlink">
    <w:name w:val="Hyperlink"/>
    <w:basedOn w:val="DefaultParagraphFont"/>
    <w:uiPriority w:val="99"/>
    <w:unhideWhenUsed/>
    <w:rsid w:val="00852FA3"/>
    <w:rPr>
      <w:color w:val="0000FF"/>
      <w:u w:val="single"/>
    </w:rPr>
  </w:style>
  <w:style w:type="character" w:customStyle="1" w:styleId="ListParagraphChar">
    <w:name w:val="List Paragraph Char"/>
    <w:aliases w:val="ERP-List Paragraph Char,List Paragraph11 Char,Bullet EY Char,List Paragraph1 Char,Normal bullet 2 Char,Forth level Char,Bullet 1 Char,Table of contents numbered Char,A_wyliczenie Char,K-P_odwolanie Char,Akapit z listą5 Char,3 Char"/>
    <w:basedOn w:val="DefaultParagraphFont"/>
    <w:link w:val="ListParagraph"/>
    <w:uiPriority w:val="34"/>
    <w:qFormat/>
    <w:rsid w:val="004841BC"/>
  </w:style>
  <w:style w:type="character" w:styleId="CommentReference">
    <w:name w:val="annotation reference"/>
    <w:basedOn w:val="DefaultParagraphFont"/>
    <w:uiPriority w:val="99"/>
    <w:semiHidden/>
    <w:unhideWhenUsed/>
    <w:rsid w:val="00FB433B"/>
    <w:rPr>
      <w:sz w:val="16"/>
      <w:szCs w:val="16"/>
    </w:rPr>
  </w:style>
  <w:style w:type="paragraph" w:styleId="CommentText">
    <w:name w:val="annotation text"/>
    <w:basedOn w:val="Normal"/>
    <w:link w:val="CommentTextChar"/>
    <w:uiPriority w:val="99"/>
    <w:semiHidden/>
    <w:unhideWhenUsed/>
    <w:rsid w:val="00FB433B"/>
    <w:pPr>
      <w:spacing w:line="240" w:lineRule="auto"/>
    </w:pPr>
    <w:rPr>
      <w:sz w:val="20"/>
      <w:szCs w:val="20"/>
    </w:rPr>
  </w:style>
  <w:style w:type="character" w:customStyle="1" w:styleId="CommentTextChar">
    <w:name w:val="Comment Text Char"/>
    <w:basedOn w:val="DefaultParagraphFont"/>
    <w:link w:val="CommentText"/>
    <w:uiPriority w:val="99"/>
    <w:semiHidden/>
    <w:rsid w:val="00FB433B"/>
    <w:rPr>
      <w:sz w:val="20"/>
      <w:szCs w:val="20"/>
    </w:rPr>
  </w:style>
  <w:style w:type="paragraph" w:styleId="CommentSubject">
    <w:name w:val="annotation subject"/>
    <w:basedOn w:val="CommentText"/>
    <w:next w:val="CommentText"/>
    <w:link w:val="CommentSubjectChar"/>
    <w:uiPriority w:val="99"/>
    <w:semiHidden/>
    <w:unhideWhenUsed/>
    <w:rsid w:val="00FB433B"/>
    <w:rPr>
      <w:b/>
      <w:bCs/>
    </w:rPr>
  </w:style>
  <w:style w:type="character" w:customStyle="1" w:styleId="CommentSubjectChar">
    <w:name w:val="Comment Subject Char"/>
    <w:basedOn w:val="CommentTextChar"/>
    <w:link w:val="CommentSubject"/>
    <w:uiPriority w:val="99"/>
    <w:semiHidden/>
    <w:rsid w:val="00FB433B"/>
    <w:rPr>
      <w:b/>
      <w:bCs/>
      <w:sz w:val="20"/>
      <w:szCs w:val="20"/>
    </w:rPr>
  </w:style>
  <w:style w:type="paragraph" w:styleId="BalloonText">
    <w:name w:val="Balloon Text"/>
    <w:basedOn w:val="Normal"/>
    <w:link w:val="BalloonTextChar"/>
    <w:uiPriority w:val="99"/>
    <w:semiHidden/>
    <w:unhideWhenUsed/>
    <w:rsid w:val="00104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388"/>
    <w:rPr>
      <w:rFonts w:ascii="Segoe UI" w:hAnsi="Segoe UI" w:cs="Segoe UI"/>
      <w:sz w:val="18"/>
      <w:szCs w:val="18"/>
    </w:rPr>
  </w:style>
  <w:style w:type="character" w:styleId="Strong">
    <w:name w:val="Strong"/>
    <w:basedOn w:val="DefaultParagraphFont"/>
    <w:uiPriority w:val="22"/>
    <w:qFormat/>
    <w:rsid w:val="006F23E6"/>
    <w:rPr>
      <w:b/>
      <w:bCs/>
    </w:rPr>
  </w:style>
  <w:style w:type="character" w:customStyle="1" w:styleId="Heading1Char">
    <w:name w:val="Heading 1 Char"/>
    <w:basedOn w:val="DefaultParagraphFont"/>
    <w:link w:val="Heading1"/>
    <w:uiPriority w:val="9"/>
    <w:rsid w:val="00767F8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80401">
      <w:bodyDiv w:val="1"/>
      <w:marLeft w:val="0"/>
      <w:marRight w:val="0"/>
      <w:marTop w:val="0"/>
      <w:marBottom w:val="0"/>
      <w:divBdr>
        <w:top w:val="none" w:sz="0" w:space="0" w:color="auto"/>
        <w:left w:val="none" w:sz="0" w:space="0" w:color="auto"/>
        <w:bottom w:val="none" w:sz="0" w:space="0" w:color="auto"/>
        <w:right w:val="none" w:sz="0" w:space="0" w:color="auto"/>
      </w:divBdr>
    </w:div>
    <w:div w:id="142695499">
      <w:bodyDiv w:val="1"/>
      <w:marLeft w:val="0"/>
      <w:marRight w:val="0"/>
      <w:marTop w:val="0"/>
      <w:marBottom w:val="0"/>
      <w:divBdr>
        <w:top w:val="none" w:sz="0" w:space="0" w:color="auto"/>
        <w:left w:val="none" w:sz="0" w:space="0" w:color="auto"/>
        <w:bottom w:val="none" w:sz="0" w:space="0" w:color="auto"/>
        <w:right w:val="none" w:sz="0" w:space="0" w:color="auto"/>
      </w:divBdr>
    </w:div>
    <w:div w:id="186530242">
      <w:bodyDiv w:val="1"/>
      <w:marLeft w:val="0"/>
      <w:marRight w:val="0"/>
      <w:marTop w:val="0"/>
      <w:marBottom w:val="0"/>
      <w:divBdr>
        <w:top w:val="none" w:sz="0" w:space="0" w:color="auto"/>
        <w:left w:val="none" w:sz="0" w:space="0" w:color="auto"/>
        <w:bottom w:val="none" w:sz="0" w:space="0" w:color="auto"/>
        <w:right w:val="none" w:sz="0" w:space="0" w:color="auto"/>
      </w:divBdr>
    </w:div>
    <w:div w:id="377439612">
      <w:bodyDiv w:val="1"/>
      <w:marLeft w:val="0"/>
      <w:marRight w:val="0"/>
      <w:marTop w:val="0"/>
      <w:marBottom w:val="0"/>
      <w:divBdr>
        <w:top w:val="none" w:sz="0" w:space="0" w:color="auto"/>
        <w:left w:val="none" w:sz="0" w:space="0" w:color="auto"/>
        <w:bottom w:val="none" w:sz="0" w:space="0" w:color="auto"/>
        <w:right w:val="none" w:sz="0" w:space="0" w:color="auto"/>
      </w:divBdr>
    </w:div>
    <w:div w:id="439764550">
      <w:bodyDiv w:val="1"/>
      <w:marLeft w:val="0"/>
      <w:marRight w:val="0"/>
      <w:marTop w:val="0"/>
      <w:marBottom w:val="0"/>
      <w:divBdr>
        <w:top w:val="none" w:sz="0" w:space="0" w:color="auto"/>
        <w:left w:val="none" w:sz="0" w:space="0" w:color="auto"/>
        <w:bottom w:val="none" w:sz="0" w:space="0" w:color="auto"/>
        <w:right w:val="none" w:sz="0" w:space="0" w:color="auto"/>
      </w:divBdr>
    </w:div>
    <w:div w:id="465974843">
      <w:bodyDiv w:val="1"/>
      <w:marLeft w:val="0"/>
      <w:marRight w:val="0"/>
      <w:marTop w:val="0"/>
      <w:marBottom w:val="0"/>
      <w:divBdr>
        <w:top w:val="none" w:sz="0" w:space="0" w:color="auto"/>
        <w:left w:val="none" w:sz="0" w:space="0" w:color="auto"/>
        <w:bottom w:val="none" w:sz="0" w:space="0" w:color="auto"/>
        <w:right w:val="none" w:sz="0" w:space="0" w:color="auto"/>
      </w:divBdr>
    </w:div>
    <w:div w:id="583614178">
      <w:bodyDiv w:val="1"/>
      <w:marLeft w:val="0"/>
      <w:marRight w:val="0"/>
      <w:marTop w:val="0"/>
      <w:marBottom w:val="0"/>
      <w:divBdr>
        <w:top w:val="none" w:sz="0" w:space="0" w:color="auto"/>
        <w:left w:val="none" w:sz="0" w:space="0" w:color="auto"/>
        <w:bottom w:val="none" w:sz="0" w:space="0" w:color="auto"/>
        <w:right w:val="none" w:sz="0" w:space="0" w:color="auto"/>
      </w:divBdr>
    </w:div>
    <w:div w:id="688409907">
      <w:bodyDiv w:val="1"/>
      <w:marLeft w:val="0"/>
      <w:marRight w:val="0"/>
      <w:marTop w:val="0"/>
      <w:marBottom w:val="0"/>
      <w:divBdr>
        <w:top w:val="none" w:sz="0" w:space="0" w:color="auto"/>
        <w:left w:val="none" w:sz="0" w:space="0" w:color="auto"/>
        <w:bottom w:val="none" w:sz="0" w:space="0" w:color="auto"/>
        <w:right w:val="none" w:sz="0" w:space="0" w:color="auto"/>
      </w:divBdr>
    </w:div>
    <w:div w:id="803549249">
      <w:bodyDiv w:val="1"/>
      <w:marLeft w:val="0"/>
      <w:marRight w:val="0"/>
      <w:marTop w:val="0"/>
      <w:marBottom w:val="0"/>
      <w:divBdr>
        <w:top w:val="none" w:sz="0" w:space="0" w:color="auto"/>
        <w:left w:val="none" w:sz="0" w:space="0" w:color="auto"/>
        <w:bottom w:val="none" w:sz="0" w:space="0" w:color="auto"/>
        <w:right w:val="none" w:sz="0" w:space="0" w:color="auto"/>
      </w:divBdr>
    </w:div>
    <w:div w:id="855270650">
      <w:bodyDiv w:val="1"/>
      <w:marLeft w:val="0"/>
      <w:marRight w:val="0"/>
      <w:marTop w:val="0"/>
      <w:marBottom w:val="0"/>
      <w:divBdr>
        <w:top w:val="none" w:sz="0" w:space="0" w:color="auto"/>
        <w:left w:val="none" w:sz="0" w:space="0" w:color="auto"/>
        <w:bottom w:val="none" w:sz="0" w:space="0" w:color="auto"/>
        <w:right w:val="none" w:sz="0" w:space="0" w:color="auto"/>
      </w:divBdr>
    </w:div>
    <w:div w:id="879393274">
      <w:bodyDiv w:val="1"/>
      <w:marLeft w:val="0"/>
      <w:marRight w:val="0"/>
      <w:marTop w:val="0"/>
      <w:marBottom w:val="0"/>
      <w:divBdr>
        <w:top w:val="none" w:sz="0" w:space="0" w:color="auto"/>
        <w:left w:val="none" w:sz="0" w:space="0" w:color="auto"/>
        <w:bottom w:val="none" w:sz="0" w:space="0" w:color="auto"/>
        <w:right w:val="none" w:sz="0" w:space="0" w:color="auto"/>
      </w:divBdr>
    </w:div>
    <w:div w:id="888803239">
      <w:bodyDiv w:val="1"/>
      <w:marLeft w:val="0"/>
      <w:marRight w:val="0"/>
      <w:marTop w:val="0"/>
      <w:marBottom w:val="0"/>
      <w:divBdr>
        <w:top w:val="none" w:sz="0" w:space="0" w:color="auto"/>
        <w:left w:val="none" w:sz="0" w:space="0" w:color="auto"/>
        <w:bottom w:val="none" w:sz="0" w:space="0" w:color="auto"/>
        <w:right w:val="none" w:sz="0" w:space="0" w:color="auto"/>
      </w:divBdr>
    </w:div>
    <w:div w:id="1182669308">
      <w:bodyDiv w:val="1"/>
      <w:marLeft w:val="0"/>
      <w:marRight w:val="0"/>
      <w:marTop w:val="0"/>
      <w:marBottom w:val="0"/>
      <w:divBdr>
        <w:top w:val="none" w:sz="0" w:space="0" w:color="auto"/>
        <w:left w:val="none" w:sz="0" w:space="0" w:color="auto"/>
        <w:bottom w:val="none" w:sz="0" w:space="0" w:color="auto"/>
        <w:right w:val="none" w:sz="0" w:space="0" w:color="auto"/>
      </w:divBdr>
    </w:div>
    <w:div w:id="1214997257">
      <w:bodyDiv w:val="1"/>
      <w:marLeft w:val="0"/>
      <w:marRight w:val="0"/>
      <w:marTop w:val="0"/>
      <w:marBottom w:val="0"/>
      <w:divBdr>
        <w:top w:val="none" w:sz="0" w:space="0" w:color="auto"/>
        <w:left w:val="none" w:sz="0" w:space="0" w:color="auto"/>
        <w:bottom w:val="none" w:sz="0" w:space="0" w:color="auto"/>
        <w:right w:val="none" w:sz="0" w:space="0" w:color="auto"/>
      </w:divBdr>
    </w:div>
    <w:div w:id="1407650051">
      <w:bodyDiv w:val="1"/>
      <w:marLeft w:val="0"/>
      <w:marRight w:val="0"/>
      <w:marTop w:val="0"/>
      <w:marBottom w:val="0"/>
      <w:divBdr>
        <w:top w:val="none" w:sz="0" w:space="0" w:color="auto"/>
        <w:left w:val="none" w:sz="0" w:space="0" w:color="auto"/>
        <w:bottom w:val="none" w:sz="0" w:space="0" w:color="auto"/>
        <w:right w:val="none" w:sz="0" w:space="0" w:color="auto"/>
      </w:divBdr>
    </w:div>
    <w:div w:id="1434007579">
      <w:bodyDiv w:val="1"/>
      <w:marLeft w:val="0"/>
      <w:marRight w:val="0"/>
      <w:marTop w:val="0"/>
      <w:marBottom w:val="0"/>
      <w:divBdr>
        <w:top w:val="none" w:sz="0" w:space="0" w:color="auto"/>
        <w:left w:val="none" w:sz="0" w:space="0" w:color="auto"/>
        <w:bottom w:val="none" w:sz="0" w:space="0" w:color="auto"/>
        <w:right w:val="none" w:sz="0" w:space="0" w:color="auto"/>
      </w:divBdr>
    </w:div>
    <w:div w:id="1509447757">
      <w:bodyDiv w:val="1"/>
      <w:marLeft w:val="0"/>
      <w:marRight w:val="0"/>
      <w:marTop w:val="0"/>
      <w:marBottom w:val="0"/>
      <w:divBdr>
        <w:top w:val="none" w:sz="0" w:space="0" w:color="auto"/>
        <w:left w:val="none" w:sz="0" w:space="0" w:color="auto"/>
        <w:bottom w:val="none" w:sz="0" w:space="0" w:color="auto"/>
        <w:right w:val="none" w:sz="0" w:space="0" w:color="auto"/>
      </w:divBdr>
    </w:div>
    <w:div w:id="1563758650">
      <w:bodyDiv w:val="1"/>
      <w:marLeft w:val="0"/>
      <w:marRight w:val="0"/>
      <w:marTop w:val="0"/>
      <w:marBottom w:val="0"/>
      <w:divBdr>
        <w:top w:val="none" w:sz="0" w:space="0" w:color="auto"/>
        <w:left w:val="none" w:sz="0" w:space="0" w:color="auto"/>
        <w:bottom w:val="none" w:sz="0" w:space="0" w:color="auto"/>
        <w:right w:val="none" w:sz="0" w:space="0" w:color="auto"/>
      </w:divBdr>
    </w:div>
    <w:div w:id="1566722348">
      <w:bodyDiv w:val="1"/>
      <w:marLeft w:val="0"/>
      <w:marRight w:val="0"/>
      <w:marTop w:val="0"/>
      <w:marBottom w:val="0"/>
      <w:divBdr>
        <w:top w:val="none" w:sz="0" w:space="0" w:color="auto"/>
        <w:left w:val="none" w:sz="0" w:space="0" w:color="auto"/>
        <w:bottom w:val="none" w:sz="0" w:space="0" w:color="auto"/>
        <w:right w:val="none" w:sz="0" w:space="0" w:color="auto"/>
      </w:divBdr>
    </w:div>
    <w:div w:id="1761757104">
      <w:bodyDiv w:val="1"/>
      <w:marLeft w:val="0"/>
      <w:marRight w:val="0"/>
      <w:marTop w:val="0"/>
      <w:marBottom w:val="0"/>
      <w:divBdr>
        <w:top w:val="none" w:sz="0" w:space="0" w:color="auto"/>
        <w:left w:val="none" w:sz="0" w:space="0" w:color="auto"/>
        <w:bottom w:val="none" w:sz="0" w:space="0" w:color="auto"/>
        <w:right w:val="none" w:sz="0" w:space="0" w:color="auto"/>
      </w:divBdr>
    </w:div>
    <w:div w:id="1777363290">
      <w:bodyDiv w:val="1"/>
      <w:marLeft w:val="0"/>
      <w:marRight w:val="0"/>
      <w:marTop w:val="0"/>
      <w:marBottom w:val="0"/>
      <w:divBdr>
        <w:top w:val="none" w:sz="0" w:space="0" w:color="auto"/>
        <w:left w:val="none" w:sz="0" w:space="0" w:color="auto"/>
        <w:bottom w:val="none" w:sz="0" w:space="0" w:color="auto"/>
        <w:right w:val="none" w:sz="0" w:space="0" w:color="auto"/>
      </w:divBdr>
    </w:div>
    <w:div w:id="194997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4F013-CE9B-4930-A804-7A286C73E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1701</Words>
  <Characters>9701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Mariuca Carmaciu</dc:creator>
  <cp:keywords/>
  <dc:description/>
  <cp:lastModifiedBy>Alexandra Gogancea</cp:lastModifiedBy>
  <cp:revision>2</cp:revision>
  <dcterms:created xsi:type="dcterms:W3CDTF">2024-11-28T14:30:00Z</dcterms:created>
  <dcterms:modified xsi:type="dcterms:W3CDTF">2024-11-28T14:30:00Z</dcterms:modified>
</cp:coreProperties>
</file>