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margin" w:tblpXSpec="center" w:tblpY="3391"/>
        <w:tblW w:w="14377" w:type="dxa"/>
        <w:tblLayout w:type="fixed"/>
        <w:tblLook w:val="04A0" w:firstRow="1" w:lastRow="0" w:firstColumn="1" w:lastColumn="0" w:noHBand="0" w:noVBand="1"/>
      </w:tblPr>
      <w:tblGrid>
        <w:gridCol w:w="625"/>
        <w:gridCol w:w="2127"/>
        <w:gridCol w:w="5953"/>
        <w:gridCol w:w="2552"/>
        <w:gridCol w:w="3120"/>
      </w:tblGrid>
      <w:tr w:rsidR="009614D3" w:rsidRPr="009614D3" w14:paraId="6416970E" w14:textId="77777777" w:rsidTr="0068269D">
        <w:trPr>
          <w:trHeight w:val="262"/>
        </w:trPr>
        <w:tc>
          <w:tcPr>
            <w:tcW w:w="625" w:type="dxa"/>
            <w:shd w:val="clear" w:color="auto" w:fill="auto"/>
          </w:tcPr>
          <w:p w14:paraId="7D4E1D1C" w14:textId="77777777" w:rsidR="00F64576" w:rsidRPr="009614D3" w:rsidRDefault="00386ECB" w:rsidP="004D64FC">
            <w:pPr>
              <w:jc w:val="both"/>
              <w:rPr>
                <w:rFonts w:ascii="Trebuchet MS" w:hAnsi="Trebuchet MS"/>
                <w:b/>
                <w:color w:val="1F4E79" w:themeColor="accent1" w:themeShade="80"/>
              </w:rPr>
            </w:pPr>
            <w:r>
              <w:rPr>
                <w:rFonts w:ascii="Trebuchet MS" w:hAnsi="Trebuchet MS"/>
                <w:b/>
                <w:color w:val="1F4E79" w:themeColor="accent1" w:themeShade="80"/>
              </w:rPr>
              <w:t xml:space="preserve"> </w:t>
            </w:r>
            <w:r w:rsidR="00F64576" w:rsidRPr="009614D3">
              <w:rPr>
                <w:rFonts w:ascii="Trebuchet MS" w:hAnsi="Trebuchet MS"/>
                <w:b/>
                <w:color w:val="1F4E79" w:themeColor="accent1" w:themeShade="80"/>
              </w:rPr>
              <w:t>No.</w:t>
            </w:r>
          </w:p>
        </w:tc>
        <w:tc>
          <w:tcPr>
            <w:tcW w:w="2127" w:type="dxa"/>
          </w:tcPr>
          <w:p w14:paraId="38BFC03F"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Institution</w:t>
            </w:r>
          </w:p>
        </w:tc>
        <w:tc>
          <w:tcPr>
            <w:tcW w:w="5953" w:type="dxa"/>
          </w:tcPr>
          <w:p w14:paraId="2F3EFB24"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Proposals as received</w:t>
            </w:r>
          </w:p>
        </w:tc>
        <w:tc>
          <w:tcPr>
            <w:tcW w:w="2552" w:type="dxa"/>
          </w:tcPr>
          <w:p w14:paraId="1E356E25" w14:textId="77777777" w:rsidR="00F64576" w:rsidRPr="009614D3" w:rsidRDefault="00F64576"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IP structures opinion</w:t>
            </w:r>
          </w:p>
        </w:tc>
        <w:tc>
          <w:tcPr>
            <w:tcW w:w="3120" w:type="dxa"/>
          </w:tcPr>
          <w:p w14:paraId="02CF41A9" w14:textId="77777777" w:rsidR="00F64576" w:rsidRPr="009614D3" w:rsidRDefault="00504D15" w:rsidP="004D64FC">
            <w:pPr>
              <w:jc w:val="both"/>
              <w:rPr>
                <w:rFonts w:ascii="Trebuchet MS" w:hAnsi="Trebuchet MS"/>
                <w:b/>
                <w:color w:val="1F4E79" w:themeColor="accent1" w:themeShade="80"/>
              </w:rPr>
            </w:pPr>
            <w:r w:rsidRPr="009614D3">
              <w:rPr>
                <w:rFonts w:ascii="Trebuchet MS" w:hAnsi="Trebuchet MS"/>
                <w:b/>
                <w:color w:val="1F4E79" w:themeColor="accent1" w:themeShade="80"/>
              </w:rPr>
              <w:t>Updated</w:t>
            </w:r>
          </w:p>
        </w:tc>
      </w:tr>
      <w:tr w:rsidR="009614D3" w:rsidRPr="009614D3" w14:paraId="27488AA9" w14:textId="77777777" w:rsidTr="0068269D">
        <w:trPr>
          <w:trHeight w:val="248"/>
        </w:trPr>
        <w:tc>
          <w:tcPr>
            <w:tcW w:w="625" w:type="dxa"/>
            <w:shd w:val="clear" w:color="auto" w:fill="auto"/>
          </w:tcPr>
          <w:p w14:paraId="51ADE9CD" w14:textId="1BE5059E" w:rsidR="00F64576" w:rsidRPr="009614D3" w:rsidRDefault="0068269D" w:rsidP="004D64FC">
            <w:pPr>
              <w:jc w:val="both"/>
              <w:rPr>
                <w:rFonts w:ascii="Trebuchet MS" w:hAnsi="Trebuchet MS"/>
                <w:color w:val="1F4E79" w:themeColor="accent1" w:themeShade="80"/>
              </w:rPr>
            </w:pPr>
            <w:r>
              <w:rPr>
                <w:rFonts w:ascii="Trebuchet MS" w:hAnsi="Trebuchet MS"/>
                <w:color w:val="1F4E79" w:themeColor="accent1" w:themeShade="80"/>
              </w:rPr>
              <w:t>1.</w:t>
            </w:r>
          </w:p>
        </w:tc>
        <w:tc>
          <w:tcPr>
            <w:tcW w:w="2127" w:type="dxa"/>
          </w:tcPr>
          <w:p w14:paraId="17EF35AB" w14:textId="26E11B3B" w:rsidR="00F64576" w:rsidRPr="006B4975" w:rsidRDefault="009935DE" w:rsidP="009935DE">
            <w:pPr>
              <w:jc w:val="both"/>
              <w:rPr>
                <w:rFonts w:ascii="Trebuchet MS" w:hAnsi="Trebuchet MS"/>
                <w:b/>
                <w:color w:val="1F4E79" w:themeColor="accent1" w:themeShade="80"/>
              </w:rPr>
            </w:pPr>
            <w:r>
              <w:rPr>
                <w:rFonts w:ascii="Trebuchet MS" w:hAnsi="Trebuchet MS"/>
                <w:b/>
                <w:color w:val="1F4E79" w:themeColor="accent1" w:themeShade="80"/>
              </w:rPr>
              <w:t>SR (private person)</w:t>
            </w:r>
          </w:p>
        </w:tc>
        <w:tc>
          <w:tcPr>
            <w:tcW w:w="5953" w:type="dxa"/>
          </w:tcPr>
          <w:p w14:paraId="05F030F4"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In response to your invitation for participation in the public consultation for the Applicant's Guide dedicated to Priority 3 – An Educated Region, Specific Objective 4.2 - Improving Equal Access to Inclusive and Quality Services in Education, Training, and Lifelong Learning through Developing Accessible Infrastructure, including by Fostering Resilience for Distance and Online Education and Training, please find below the following feedback and suggestion:</w:t>
            </w:r>
          </w:p>
          <w:p w14:paraId="6A92B95C"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1. The indicative type of action, suggested on page 11, under Chapter 2.3. Eligible indicative types of actions of the Applicant’s guide for Open Call for the operations under PO4, Priority 3: An educated region:</w:t>
            </w:r>
          </w:p>
          <w:p w14:paraId="19DDEB85"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14:paraId="71A112C6" w14:textId="16598F29" w:rsidR="00EE4B40" w:rsidRPr="00EE4B40" w:rsidRDefault="00EE4B40" w:rsidP="00EE4B40">
            <w:pPr>
              <w:jc w:val="both"/>
              <w:rPr>
                <w:rFonts w:ascii="Trebuchet MS" w:hAnsi="Trebuchet MS"/>
                <w:color w:val="1F4E79" w:themeColor="accent1" w:themeShade="80"/>
              </w:rPr>
            </w:pPr>
          </w:p>
          <w:p w14:paraId="4B5A1E61"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can be reworded, as follows:</w:t>
            </w:r>
          </w:p>
          <w:p w14:paraId="5B4C512B" w14:textId="12CB2510" w:rsidR="00EE4B40" w:rsidRPr="00EE4B40" w:rsidRDefault="00EE4B40" w:rsidP="00EE4B40">
            <w:pPr>
              <w:jc w:val="both"/>
              <w:rPr>
                <w:rFonts w:ascii="Trebuchet MS" w:hAnsi="Trebuchet MS"/>
                <w:color w:val="1F4E79" w:themeColor="accent1" w:themeShade="80"/>
              </w:rPr>
            </w:pPr>
          </w:p>
          <w:p w14:paraId="19D2C7F9"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 xml:space="preserve">“Investments in the infrastructure of educational facilities or other spaces, providing educational value (e.g. learning spaces such as classrooms, labs, libraries, workshops, gyms, outdoor learning spaces but also other facilities) for all education levels and educational activities (including </w:t>
            </w:r>
            <w:r w:rsidRPr="00EE4B40">
              <w:rPr>
                <w:rFonts w:ascii="Trebuchet MS" w:hAnsi="Trebuchet MS"/>
                <w:color w:val="1F4E79" w:themeColor="accent1" w:themeShade="80"/>
              </w:rPr>
              <w:lastRenderedPageBreak/>
              <w:t>remedial and after-school), technical and vocational training and LLL etc.; special attention will be given to promoting accessible and inclusive learning for all persons.”</w:t>
            </w:r>
          </w:p>
          <w:p w14:paraId="464E5DC5" w14:textId="47487ECE" w:rsidR="00EE4B40" w:rsidRPr="00EE4B40" w:rsidRDefault="00EE4B40" w:rsidP="00EE4B40">
            <w:pPr>
              <w:jc w:val="both"/>
              <w:rPr>
                <w:rFonts w:ascii="Trebuchet MS" w:hAnsi="Trebuchet MS"/>
                <w:color w:val="1F4E79" w:themeColor="accent1" w:themeShade="80"/>
              </w:rPr>
            </w:pPr>
          </w:p>
          <w:p w14:paraId="47701EE4" w14:textId="77777777"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The reason for including additional text is that the “term” or “phrase” educational facilities can be interpreted as only facilities or institutions that are defined as educational through specific legislation. For example, school institutions are defined as such in Bulgaria through the Law on preschool and school education. As shown in the examples following the term, the Programme uses educational facilities in broad terms, and includes spaces or facilities that are not strictly educational, such as gyms or other facilities, but they need to provide educational activities to be considered as eligible actions.</w:t>
            </w:r>
          </w:p>
          <w:p w14:paraId="335DDFE1" w14:textId="77777777" w:rsidR="00EE4B40" w:rsidRPr="00EE4B40" w:rsidRDefault="00EE4B40" w:rsidP="00EE4B40">
            <w:pPr>
              <w:jc w:val="both"/>
              <w:rPr>
                <w:rFonts w:ascii="Trebuchet MS" w:hAnsi="Trebuchet MS"/>
                <w:color w:val="1F4E79" w:themeColor="accent1" w:themeShade="80"/>
              </w:rPr>
            </w:pPr>
          </w:p>
          <w:p w14:paraId="3362866B" w14:textId="4335911C" w:rsidR="00EE4B40" w:rsidRPr="00EE4B40" w:rsidRDefault="00EE4B40" w:rsidP="00EE4B40">
            <w:pPr>
              <w:jc w:val="both"/>
              <w:rPr>
                <w:rFonts w:ascii="Trebuchet MS" w:hAnsi="Trebuchet MS"/>
                <w:color w:val="1F4E79" w:themeColor="accent1" w:themeShade="80"/>
              </w:rPr>
            </w:pPr>
            <w:r w:rsidRPr="00EE4B40">
              <w:rPr>
                <w:rFonts w:ascii="Trebuchet MS" w:hAnsi="Trebuchet MS"/>
                <w:color w:val="1F4E79" w:themeColor="accent1" w:themeShade="80"/>
              </w:rPr>
              <w:t>I hope that this suggestion is helpful to you to improve the Applicant's Guide or at</w:t>
            </w:r>
            <w:r>
              <w:rPr>
                <w:rFonts w:ascii="Trebuchet MS" w:hAnsi="Trebuchet MS"/>
                <w:color w:val="1F4E79" w:themeColor="accent1" w:themeShade="80"/>
              </w:rPr>
              <w:t xml:space="preserve"> </w:t>
            </w:r>
            <w:r w:rsidRPr="00EE4B40">
              <w:rPr>
                <w:rFonts w:ascii="Trebuchet MS" w:hAnsi="Trebuchet MS"/>
                <w:color w:val="1F4E79" w:themeColor="accent1" w:themeShade="80"/>
              </w:rPr>
              <w:t>least get a perspective of how some applicants might interpret the above mentioned information.</w:t>
            </w:r>
          </w:p>
          <w:p w14:paraId="4EEA8C94" w14:textId="672C114E" w:rsidR="00F64576" w:rsidRPr="009614D3" w:rsidRDefault="00F64576" w:rsidP="00EE4B40">
            <w:pPr>
              <w:jc w:val="both"/>
              <w:rPr>
                <w:rFonts w:ascii="Trebuchet MS" w:hAnsi="Trebuchet MS"/>
                <w:color w:val="1F4E79" w:themeColor="accent1" w:themeShade="80"/>
              </w:rPr>
            </w:pPr>
          </w:p>
        </w:tc>
        <w:tc>
          <w:tcPr>
            <w:tcW w:w="2552" w:type="dxa"/>
          </w:tcPr>
          <w:p w14:paraId="171FF118" w14:textId="77777777" w:rsidR="00F64576" w:rsidRPr="009614D3" w:rsidRDefault="004D64FC" w:rsidP="004D64FC">
            <w:pPr>
              <w:jc w:val="both"/>
              <w:rPr>
                <w:rFonts w:ascii="Trebuchet MS" w:hAnsi="Trebuchet MS"/>
                <w:color w:val="1F4E79" w:themeColor="accent1" w:themeShade="80"/>
              </w:rPr>
            </w:pPr>
            <w:r>
              <w:rPr>
                <w:rFonts w:ascii="Trebuchet MS" w:hAnsi="Trebuchet MS"/>
                <w:color w:val="1F4E79" w:themeColor="accent1" w:themeShade="80"/>
              </w:rPr>
              <w:lastRenderedPageBreak/>
              <w:t>Not accepted</w:t>
            </w:r>
          </w:p>
        </w:tc>
        <w:tc>
          <w:tcPr>
            <w:tcW w:w="3120" w:type="dxa"/>
          </w:tcPr>
          <w:p w14:paraId="47E7EBA9" w14:textId="3663CAA3" w:rsidR="00F64576" w:rsidRPr="009614D3" w:rsidRDefault="00844CB0" w:rsidP="00584679">
            <w:pPr>
              <w:jc w:val="both"/>
              <w:rPr>
                <w:rFonts w:ascii="Trebuchet MS" w:hAnsi="Trebuchet MS"/>
                <w:color w:val="1F4E79" w:themeColor="accent1" w:themeShade="80"/>
              </w:rPr>
            </w:pPr>
            <w:r>
              <w:rPr>
                <w:rFonts w:ascii="Trebuchet MS" w:hAnsi="Trebuchet MS"/>
                <w:color w:val="1F4E79" w:themeColor="accent1" w:themeShade="80"/>
              </w:rPr>
              <w:t>Unfortunately, the proposed types of actions proposed to be supported under PO 4, Priority 3, SO 4.2 by the Interreg VI-A Romania-Bulgaria Programme</w:t>
            </w:r>
            <w:r w:rsidR="00584679">
              <w:rPr>
                <w:rFonts w:ascii="Trebuchet MS" w:hAnsi="Trebuchet MS"/>
                <w:color w:val="1F4E79" w:themeColor="accent1" w:themeShade="80"/>
              </w:rPr>
              <w:t xml:space="preserve"> (IP)</w:t>
            </w:r>
            <w:r>
              <w:rPr>
                <w:rFonts w:ascii="Trebuchet MS" w:hAnsi="Trebuchet MS"/>
                <w:color w:val="1F4E79" w:themeColor="accent1" w:themeShade="80"/>
              </w:rPr>
              <w:t xml:space="preserve"> are include</w:t>
            </w:r>
            <w:r w:rsidR="00584679">
              <w:rPr>
                <w:rFonts w:ascii="Trebuchet MS" w:hAnsi="Trebuchet MS"/>
                <w:color w:val="1F4E79" w:themeColor="accent1" w:themeShade="80"/>
              </w:rPr>
              <w:t xml:space="preserve">d as such in the EC approved IP. </w:t>
            </w:r>
            <w:bookmarkStart w:id="0" w:name="_GoBack"/>
            <w:bookmarkEnd w:id="0"/>
            <w:r w:rsidR="00584679">
              <w:rPr>
                <w:rFonts w:ascii="Trebuchet MS" w:hAnsi="Trebuchet MS"/>
                <w:color w:val="1F4E79" w:themeColor="accent1" w:themeShade="80"/>
              </w:rPr>
              <w:t>S</w:t>
            </w:r>
            <w:r w:rsidR="00293CEA">
              <w:rPr>
                <w:rFonts w:ascii="Trebuchet MS" w:hAnsi="Trebuchet MS"/>
                <w:color w:val="1F4E79" w:themeColor="accent1" w:themeShade="80"/>
              </w:rPr>
              <w:t>till</w:t>
            </w:r>
            <w:r>
              <w:rPr>
                <w:rFonts w:ascii="Trebuchet MS" w:hAnsi="Trebuchet MS"/>
                <w:color w:val="1F4E79" w:themeColor="accent1" w:themeShade="80"/>
              </w:rPr>
              <w:t xml:space="preserve"> t</w:t>
            </w:r>
            <w:r w:rsidR="009862EC">
              <w:rPr>
                <w:rFonts w:ascii="Trebuchet MS" w:hAnsi="Trebuchet MS"/>
                <w:color w:val="1F4E79" w:themeColor="accent1" w:themeShade="80"/>
              </w:rPr>
              <w:t>he indicative</w:t>
            </w:r>
            <w:r>
              <w:rPr>
                <w:rFonts w:ascii="Trebuchet MS" w:hAnsi="Trebuchet MS"/>
                <w:color w:val="1F4E79" w:themeColor="accent1" w:themeShade="80"/>
              </w:rPr>
              <w:t xml:space="preserve"> types of actions should be interpreted in a b</w:t>
            </w:r>
            <w:r w:rsidR="00293CEA">
              <w:rPr>
                <w:rFonts w:ascii="Trebuchet MS" w:hAnsi="Trebuchet MS"/>
                <w:color w:val="1F4E79" w:themeColor="accent1" w:themeShade="80"/>
              </w:rPr>
              <w:t>road sense</w:t>
            </w:r>
            <w:r w:rsidR="0068269D">
              <w:rPr>
                <w:rFonts w:ascii="Trebuchet MS" w:hAnsi="Trebuchet MS"/>
                <w:color w:val="1F4E79" w:themeColor="accent1" w:themeShade="80"/>
              </w:rPr>
              <w:t>, but in the scope of the Specific Objective</w:t>
            </w:r>
            <w:r w:rsidR="00293CEA">
              <w:rPr>
                <w:rFonts w:ascii="Trebuchet MS" w:hAnsi="Trebuchet MS"/>
                <w:color w:val="1F4E79" w:themeColor="accent1" w:themeShade="80"/>
              </w:rPr>
              <w:t>.</w:t>
            </w:r>
            <w:r w:rsidR="0068269D">
              <w:rPr>
                <w:rFonts w:ascii="Trebuchet MS" w:hAnsi="Trebuchet MS"/>
                <w:color w:val="1F4E79" w:themeColor="accent1" w:themeShade="80"/>
              </w:rPr>
              <w:t xml:space="preserve"> </w:t>
            </w:r>
          </w:p>
        </w:tc>
      </w:tr>
      <w:tr w:rsidR="00C878F3" w:rsidRPr="009614D3" w14:paraId="53AAACB5" w14:textId="77777777" w:rsidTr="0068269D">
        <w:trPr>
          <w:trHeight w:val="248"/>
        </w:trPr>
        <w:tc>
          <w:tcPr>
            <w:tcW w:w="625" w:type="dxa"/>
            <w:shd w:val="clear" w:color="auto" w:fill="auto"/>
          </w:tcPr>
          <w:p w14:paraId="354570B6" w14:textId="24DE6381" w:rsidR="00C878F3" w:rsidRPr="009614D3" w:rsidRDefault="009935DE" w:rsidP="004D64FC">
            <w:pPr>
              <w:jc w:val="both"/>
              <w:rPr>
                <w:rFonts w:ascii="Trebuchet MS" w:hAnsi="Trebuchet MS"/>
                <w:color w:val="1F4E79" w:themeColor="accent1" w:themeShade="80"/>
              </w:rPr>
            </w:pPr>
            <w:r>
              <w:rPr>
                <w:rFonts w:ascii="Trebuchet MS" w:hAnsi="Trebuchet MS"/>
                <w:color w:val="1F4E79" w:themeColor="accent1" w:themeShade="80"/>
              </w:rPr>
              <w:t xml:space="preserve">2. </w:t>
            </w:r>
          </w:p>
        </w:tc>
        <w:tc>
          <w:tcPr>
            <w:tcW w:w="2127" w:type="dxa"/>
          </w:tcPr>
          <w:p w14:paraId="4401CE88" w14:textId="1A7B76BC" w:rsidR="00C878F3" w:rsidRDefault="009935DE" w:rsidP="004D64FC">
            <w:pPr>
              <w:jc w:val="both"/>
              <w:rPr>
                <w:rFonts w:ascii="Trebuchet MS" w:hAnsi="Trebuchet MS"/>
                <w:b/>
                <w:color w:val="1F4E79" w:themeColor="accent1" w:themeShade="80"/>
              </w:rPr>
            </w:pPr>
            <w:r w:rsidRPr="009935DE">
              <w:rPr>
                <w:rFonts w:ascii="Trebuchet MS" w:hAnsi="Trebuchet MS"/>
                <w:b/>
                <w:color w:val="1F4E79" w:themeColor="accent1" w:themeShade="80"/>
              </w:rPr>
              <w:t>VS (private person)</w:t>
            </w:r>
          </w:p>
        </w:tc>
        <w:tc>
          <w:tcPr>
            <w:tcW w:w="5953" w:type="dxa"/>
          </w:tcPr>
          <w:p w14:paraId="063D1621"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 xml:space="preserve">Referitor la consultarea publică cu privire la “Ghidul Aplicantului dedicat Priorității 3 - O regiune educată, Obiectivul specific 4.2 - Îmbunătățirea accesului egal la servicii incluzive și de calitate în educație, formare și învățare pe tot parcursul vieții prin dezvoltarea unei infrastructuri accesibile, inclusiv prin promovarea rezilienței pentru educația și formarea la distanță și online!”, in cadrul Programului Interreg VI-A Romania Bulgaria nu am identificat in documentele supuse procedurii de consultare reguli expres mentionate si clare, </w:t>
            </w:r>
            <w:r w:rsidRPr="009935DE">
              <w:rPr>
                <w:rFonts w:ascii="Trebuchet MS" w:hAnsi="Trebuchet MS"/>
                <w:color w:val="1F4E79" w:themeColor="accent1" w:themeShade="80"/>
              </w:rPr>
              <w:lastRenderedPageBreak/>
              <w:t>privind conflictul de interese. Cred ca este foarte important (in conditiile prevazute de regulamentele europene) sa se asigure protectia intereselor financiare ale UE, prin prevenirea situatiilor in care un organism sau o persoană are un interes financiar direct sau indirect ce ar putea influența îndeplinirea imparțială a obligațiilor sale.</w:t>
            </w:r>
          </w:p>
          <w:p w14:paraId="7086B4C5"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Astfel, similar cu Programul Operațional Regional, pentru a asigura respectarea regulilor privind conflictul de interese va rog sa introduceti in ghidul aplicantului prevederi clare privind incompatibilitatile beneficiarilor programului cu privire la prestarea de servicii pentru alti beneficiari ai aceluiasi program, astfel:</w:t>
            </w:r>
          </w:p>
          <w:p w14:paraId="7AD1E006"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1. Organizatiile ce au calitatea de beneficiari ai Programului Interreg VI-A Romania – Bulgaria nu pot avea calitatea de subcontractor pentru alti beneficiari ai Programului Interreg VI-A Ro-Bg (nu pot fi subcontractori ai propriilor proiecte, nu pot fi subcontractori ai proiectelor implementate de catre partenerii lor din proiect sau implementate de oricare alt beneficiar al Programului Interreg VI-A Ro-Bg);</w:t>
            </w:r>
          </w:p>
          <w:p w14:paraId="608C4D20" w14:textId="77777777" w:rsid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 xml:space="preserve">2. Angajatii organizațiilor beneficiare de fonduri europene in cadrul Interreg VI-A Ro-Bg nu pot fi subcontractori ai acelei organizații (ca persoane fizice, persoane fizice autorizate sau in calitate de reprezentanti ai altei persoane juridice). </w:t>
            </w:r>
          </w:p>
          <w:p w14:paraId="4D5B76AA" w14:textId="77777777" w:rsidR="009935DE" w:rsidRDefault="009935DE" w:rsidP="009935DE">
            <w:pPr>
              <w:jc w:val="both"/>
              <w:rPr>
                <w:rFonts w:ascii="Trebuchet MS" w:hAnsi="Trebuchet MS"/>
                <w:color w:val="1F4E79" w:themeColor="accent1" w:themeShade="80"/>
              </w:rPr>
            </w:pPr>
          </w:p>
          <w:p w14:paraId="48E4469D" w14:textId="3C776798" w:rsidR="009935DE" w:rsidRDefault="009935DE" w:rsidP="009935DE">
            <w:pPr>
              <w:jc w:val="both"/>
              <w:rPr>
                <w:rFonts w:ascii="Trebuchet MS" w:hAnsi="Trebuchet MS"/>
                <w:color w:val="1F4E79" w:themeColor="accent1" w:themeShade="80"/>
              </w:rPr>
            </w:pPr>
            <w:r>
              <w:rPr>
                <w:rFonts w:ascii="Trebuchet MS" w:hAnsi="Trebuchet MS"/>
                <w:color w:val="1F4E79" w:themeColor="accent1" w:themeShade="80"/>
              </w:rPr>
              <w:t>Translation in EN</w:t>
            </w:r>
          </w:p>
          <w:p w14:paraId="218C3CFE" w14:textId="77777777" w:rsidR="009935DE" w:rsidRDefault="009935DE" w:rsidP="009935DE">
            <w:pPr>
              <w:jc w:val="both"/>
              <w:rPr>
                <w:rFonts w:ascii="Trebuchet MS" w:hAnsi="Trebuchet MS"/>
                <w:color w:val="1F4E79" w:themeColor="accent1" w:themeShade="80"/>
              </w:rPr>
            </w:pPr>
          </w:p>
          <w:p w14:paraId="2EF021CD"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 xml:space="preserve">It is very important to ensure transparency and avoid conflicts of interest within the Interreg VI-A Romania Bulgaria Programme. Your proposals for introducing clear </w:t>
            </w:r>
            <w:r w:rsidRPr="009935DE">
              <w:rPr>
                <w:rFonts w:ascii="Trebuchet MS" w:hAnsi="Trebuchet MS"/>
                <w:color w:val="1F4E79" w:themeColor="accent1" w:themeShade="80"/>
              </w:rPr>
              <w:lastRenderedPageBreak/>
              <w:t>provisions in the Applicant Guide are in line with European regulations and could contribute to strengthening the integrity and impartiality of the project implementation process.</w:t>
            </w:r>
          </w:p>
          <w:p w14:paraId="4D4D70D1" w14:textId="77777777" w:rsidR="009935DE" w:rsidRPr="009935DE" w:rsidRDefault="009935DE" w:rsidP="009935DE">
            <w:pPr>
              <w:jc w:val="both"/>
              <w:rPr>
                <w:rFonts w:ascii="Trebuchet MS" w:hAnsi="Trebuchet MS"/>
                <w:color w:val="1F4E79" w:themeColor="accent1" w:themeShade="80"/>
              </w:rPr>
            </w:pPr>
          </w:p>
          <w:p w14:paraId="2EEDD65F"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Thus, the introduction of the following provisions could help prevent conflicts of interest:</w:t>
            </w:r>
          </w:p>
          <w:p w14:paraId="7545C92F" w14:textId="77777777" w:rsidR="009935DE" w:rsidRPr="009935DE" w:rsidRDefault="009935DE" w:rsidP="009935DE">
            <w:pPr>
              <w:jc w:val="both"/>
              <w:rPr>
                <w:rFonts w:ascii="Trebuchet MS" w:hAnsi="Trebuchet MS"/>
                <w:color w:val="1F4E79" w:themeColor="accent1" w:themeShade="80"/>
              </w:rPr>
            </w:pPr>
          </w:p>
          <w:p w14:paraId="114405A4"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Beneficiaries of the Interreg VI-A Romania – Bulgaria Programme cannot act as subcontractors for other beneficiaries of the same programme, including for their own projects or for projects implemented by their project partners or any other beneficiary of the Interreg VI-A Romania – Bulgaria Programme.</w:t>
            </w:r>
          </w:p>
          <w:p w14:paraId="799917E7" w14:textId="77777777" w:rsidR="009935DE" w:rsidRPr="009935DE" w:rsidRDefault="009935DE" w:rsidP="009935DE">
            <w:pPr>
              <w:jc w:val="both"/>
              <w:rPr>
                <w:rFonts w:ascii="Trebuchet MS" w:hAnsi="Trebuchet MS"/>
                <w:color w:val="1F4E79" w:themeColor="accent1" w:themeShade="80"/>
              </w:rPr>
            </w:pPr>
          </w:p>
          <w:p w14:paraId="0136E305" w14:textId="77777777"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Employees of organizations benefiting from European funds under the Interreg VI-A Romania Bulgaria Programme cannot act as subcontractors for the same organization, whether as individuals, self-employed individuals, or representatives of other legal entities.</w:t>
            </w:r>
          </w:p>
          <w:p w14:paraId="31AFF216" w14:textId="77777777" w:rsidR="009935DE" w:rsidRPr="009935DE" w:rsidRDefault="009935DE" w:rsidP="009935DE">
            <w:pPr>
              <w:jc w:val="both"/>
              <w:rPr>
                <w:rFonts w:ascii="Trebuchet MS" w:hAnsi="Trebuchet MS"/>
                <w:color w:val="1F4E79" w:themeColor="accent1" w:themeShade="80"/>
              </w:rPr>
            </w:pPr>
          </w:p>
          <w:p w14:paraId="1C0CAA80" w14:textId="0E4EE7E1" w:rsidR="009935DE" w:rsidRPr="009935DE" w:rsidRDefault="009935DE" w:rsidP="009935DE">
            <w:pPr>
              <w:jc w:val="both"/>
              <w:rPr>
                <w:rFonts w:ascii="Trebuchet MS" w:hAnsi="Trebuchet MS"/>
                <w:color w:val="1F4E79" w:themeColor="accent1" w:themeShade="80"/>
              </w:rPr>
            </w:pPr>
            <w:r w:rsidRPr="009935DE">
              <w:rPr>
                <w:rFonts w:ascii="Trebuchet MS" w:hAnsi="Trebuchet MS"/>
                <w:color w:val="1F4E79" w:themeColor="accent1" w:themeShade="80"/>
              </w:rPr>
              <w:t>These provisions will ensure that the project implementation process is conducted in a transparent and fair manner, while also adhering to European rules and standards regarding the management of public funds an</w:t>
            </w:r>
            <w:r>
              <w:rPr>
                <w:rFonts w:ascii="Trebuchet MS" w:hAnsi="Trebuchet MS"/>
                <w:color w:val="1F4E79" w:themeColor="accent1" w:themeShade="80"/>
              </w:rPr>
              <w:t>d the prevention of corruption.</w:t>
            </w:r>
          </w:p>
          <w:p w14:paraId="145D1E23" w14:textId="77777777" w:rsidR="00C878F3" w:rsidRPr="00EE4B40" w:rsidRDefault="00C878F3" w:rsidP="00EE4B40">
            <w:pPr>
              <w:jc w:val="both"/>
              <w:rPr>
                <w:rFonts w:ascii="Trebuchet MS" w:hAnsi="Trebuchet MS"/>
                <w:color w:val="1F4E79" w:themeColor="accent1" w:themeShade="80"/>
              </w:rPr>
            </w:pPr>
          </w:p>
        </w:tc>
        <w:tc>
          <w:tcPr>
            <w:tcW w:w="2552" w:type="dxa"/>
          </w:tcPr>
          <w:p w14:paraId="5359D950" w14:textId="290FE688" w:rsidR="00C878F3" w:rsidRDefault="001D7DEE" w:rsidP="00D15E53">
            <w:pPr>
              <w:jc w:val="both"/>
              <w:rPr>
                <w:rFonts w:ascii="Trebuchet MS" w:hAnsi="Trebuchet MS"/>
                <w:color w:val="1F4E79" w:themeColor="accent1" w:themeShade="80"/>
              </w:rPr>
            </w:pPr>
            <w:r>
              <w:rPr>
                <w:rFonts w:ascii="Trebuchet MS" w:hAnsi="Trebuchet MS"/>
                <w:color w:val="1F4E79" w:themeColor="accent1" w:themeShade="80"/>
              </w:rPr>
              <w:lastRenderedPageBreak/>
              <w:t>Not accepted</w:t>
            </w:r>
          </w:p>
        </w:tc>
        <w:tc>
          <w:tcPr>
            <w:tcW w:w="3120" w:type="dxa"/>
          </w:tcPr>
          <w:p w14:paraId="54C4737D" w14:textId="4AA54A36" w:rsidR="009935DE" w:rsidRDefault="009935DE" w:rsidP="004D64FC">
            <w:pPr>
              <w:jc w:val="both"/>
              <w:rPr>
                <w:rFonts w:ascii="Trebuchet MS" w:hAnsi="Trebuchet MS"/>
                <w:color w:val="1F4E79" w:themeColor="accent1" w:themeShade="80"/>
              </w:rPr>
            </w:pPr>
            <w:r>
              <w:rPr>
                <w:rFonts w:ascii="Trebuchet MS" w:hAnsi="Trebuchet MS"/>
                <w:color w:val="1F4E79" w:themeColor="accent1" w:themeShade="80"/>
              </w:rPr>
              <w:t xml:space="preserve">The Applicant’s Guide includes a clear provision regarding the subcontracting </w:t>
            </w:r>
            <w:r w:rsidRPr="009935DE">
              <w:rPr>
                <w:rFonts w:ascii="Trebuchet MS" w:hAnsi="Trebuchet MS"/>
                <w:color w:val="1F4E79" w:themeColor="accent1" w:themeShade="80"/>
              </w:rPr>
              <w:t xml:space="preserve"> between project partners or associated partners</w:t>
            </w:r>
            <w:r>
              <w:rPr>
                <w:rFonts w:ascii="Trebuchet MS" w:hAnsi="Trebuchet MS"/>
                <w:color w:val="1F4E79" w:themeColor="accent1" w:themeShade="80"/>
              </w:rPr>
              <w:t xml:space="preserve"> within the same project.</w:t>
            </w:r>
          </w:p>
          <w:p w14:paraId="0F8F6A44" w14:textId="77777777" w:rsidR="009935DE" w:rsidRDefault="009935DE" w:rsidP="004D64FC">
            <w:pPr>
              <w:jc w:val="both"/>
              <w:rPr>
                <w:rFonts w:ascii="Trebuchet MS" w:hAnsi="Trebuchet MS"/>
                <w:color w:val="1F4E79" w:themeColor="accent1" w:themeShade="80"/>
              </w:rPr>
            </w:pPr>
          </w:p>
          <w:p w14:paraId="74823D76" w14:textId="77777777" w:rsidR="009935DE" w:rsidRDefault="009935DE" w:rsidP="004D64FC">
            <w:pPr>
              <w:jc w:val="both"/>
              <w:rPr>
                <w:rFonts w:ascii="Trebuchet MS" w:hAnsi="Trebuchet MS"/>
                <w:color w:val="1F4E79" w:themeColor="accent1" w:themeShade="80"/>
              </w:rPr>
            </w:pPr>
            <w:r w:rsidRPr="009935DE">
              <w:rPr>
                <w:rFonts w:ascii="Trebuchet MS" w:hAnsi="Trebuchet MS"/>
                <w:i/>
                <w:color w:val="1F4E79" w:themeColor="accent1" w:themeShade="80"/>
              </w:rPr>
              <w:t xml:space="preserve">No subcontracting between project partners or associated partners is </w:t>
            </w:r>
            <w:r w:rsidRPr="009935DE">
              <w:rPr>
                <w:rFonts w:ascii="Trebuchet MS" w:hAnsi="Trebuchet MS"/>
                <w:i/>
                <w:color w:val="1F4E79" w:themeColor="accent1" w:themeShade="80"/>
              </w:rPr>
              <w:lastRenderedPageBreak/>
              <w:t>allowed, thus, if such cases are identified, the partnership will be considered ineligible, and the project rejected without further evaluation</w:t>
            </w:r>
            <w:r>
              <w:rPr>
                <w:rFonts w:ascii="Trebuchet MS" w:hAnsi="Trebuchet MS"/>
                <w:color w:val="1F4E79" w:themeColor="accent1" w:themeShade="80"/>
              </w:rPr>
              <w:t xml:space="preserve"> (page 9).</w:t>
            </w:r>
          </w:p>
          <w:p w14:paraId="258E7254" w14:textId="77777777" w:rsidR="009935DE" w:rsidRDefault="009935DE" w:rsidP="004D64FC">
            <w:pPr>
              <w:jc w:val="both"/>
              <w:rPr>
                <w:rFonts w:ascii="Trebuchet MS" w:hAnsi="Trebuchet MS"/>
                <w:color w:val="1F4E79" w:themeColor="accent1" w:themeShade="80"/>
              </w:rPr>
            </w:pPr>
          </w:p>
          <w:p w14:paraId="11D4C6AC" w14:textId="77777777" w:rsidR="00D15E53" w:rsidRDefault="00D15E53" w:rsidP="00D15E53">
            <w:pPr>
              <w:jc w:val="both"/>
              <w:rPr>
                <w:rFonts w:ascii="Trebuchet MS" w:hAnsi="Trebuchet MS"/>
                <w:color w:val="1F4E79" w:themeColor="accent1" w:themeShade="80"/>
              </w:rPr>
            </w:pPr>
            <w:r>
              <w:rPr>
                <w:rFonts w:ascii="Trebuchet MS" w:hAnsi="Trebuchet MS"/>
                <w:color w:val="1F4E79" w:themeColor="accent1" w:themeShade="80"/>
              </w:rPr>
              <w:t xml:space="preserve">In addition to these, all partners of the Programme, including their employs must observe the rules regarding the conflict of interest set at Programme level (including by Code of Conduct), but also, the EU and national legislation in this field.  </w:t>
            </w:r>
          </w:p>
          <w:p w14:paraId="106BCB5D" w14:textId="77777777" w:rsidR="000129EC" w:rsidRDefault="000129EC" w:rsidP="00D15E53">
            <w:pPr>
              <w:jc w:val="both"/>
              <w:rPr>
                <w:rFonts w:ascii="Trebuchet MS" w:hAnsi="Trebuchet MS"/>
                <w:color w:val="1F4E79" w:themeColor="accent1" w:themeShade="80"/>
              </w:rPr>
            </w:pPr>
          </w:p>
          <w:p w14:paraId="05365E85" w14:textId="0F6C0E19" w:rsidR="00C878F3" w:rsidRPr="00D15E53" w:rsidRDefault="000129EC" w:rsidP="000129EC">
            <w:pPr>
              <w:jc w:val="both"/>
              <w:rPr>
                <w:rFonts w:ascii="Trebuchet MS" w:hAnsi="Trebuchet MS"/>
              </w:rPr>
            </w:pPr>
            <w:r>
              <w:rPr>
                <w:rFonts w:ascii="Trebuchet MS" w:hAnsi="Trebuchet MS"/>
                <w:color w:val="1F4E79" w:themeColor="accent1" w:themeShade="80"/>
              </w:rPr>
              <w:t>Moreover, at this stage, the Programme</w:t>
            </w:r>
            <w:r w:rsidR="00D32D2C">
              <w:rPr>
                <w:rFonts w:ascii="Trebuchet MS" w:hAnsi="Trebuchet MS"/>
                <w:color w:val="1F4E79" w:themeColor="accent1" w:themeShade="80"/>
              </w:rPr>
              <w:t xml:space="preserve"> did not identify</w:t>
            </w:r>
            <w:r>
              <w:rPr>
                <w:rFonts w:ascii="Trebuchet MS" w:hAnsi="Trebuchet MS"/>
                <w:color w:val="1F4E79" w:themeColor="accent1" w:themeShade="80"/>
              </w:rPr>
              <w:t xml:space="preserve"> the l</w:t>
            </w:r>
            <w:r w:rsidRPr="000129EC">
              <w:rPr>
                <w:rFonts w:ascii="Trebuchet MS" w:hAnsi="Trebuchet MS"/>
                <w:color w:val="1F4E79" w:themeColor="accent1" w:themeShade="80"/>
              </w:rPr>
              <w:t xml:space="preserve">egal framework to </w:t>
            </w:r>
            <w:r>
              <w:rPr>
                <w:rFonts w:ascii="Trebuchet MS" w:hAnsi="Trebuchet MS"/>
                <w:color w:val="1F4E79" w:themeColor="accent1" w:themeShade="80"/>
              </w:rPr>
              <w:t xml:space="preserve">include this restriction. </w:t>
            </w:r>
          </w:p>
        </w:tc>
      </w:tr>
    </w:tbl>
    <w:p w14:paraId="6B878F8E" w14:textId="77777777" w:rsidR="00334868" w:rsidRPr="00844CB0" w:rsidRDefault="00334868" w:rsidP="00844CB0">
      <w:pPr>
        <w:rPr>
          <w:rFonts w:ascii="Trebuchet MS" w:eastAsia="Times New Roman" w:hAnsi="Trebuchet MS" w:cs="Arial"/>
          <w:sz w:val="24"/>
          <w:szCs w:val="24"/>
          <w:lang w:val="en-GB"/>
        </w:rPr>
      </w:pPr>
    </w:p>
    <w:sectPr w:rsidR="00334868" w:rsidRPr="00844CB0" w:rsidSect="00735F5E">
      <w:headerReference w:type="default" r:id="rId8"/>
      <w:pgSz w:w="15840" w:h="12240" w:orient="landscape" w:code="1"/>
      <w:pgMar w:top="1440" w:right="1665" w:bottom="851" w:left="1440" w:header="630"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F9092" w16cex:dateUtc="2024-04-09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19C1776" w16cid:durableId="29BF90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3A52A8" w14:textId="77777777" w:rsidR="00046F0A" w:rsidRDefault="00046F0A" w:rsidP="00046F0A">
      <w:pPr>
        <w:spacing w:after="0" w:line="240" w:lineRule="auto"/>
      </w:pPr>
      <w:r>
        <w:separator/>
      </w:r>
    </w:p>
  </w:endnote>
  <w:endnote w:type="continuationSeparator" w:id="0">
    <w:p w14:paraId="4A3CCEF0" w14:textId="77777777" w:rsidR="00046F0A" w:rsidRDefault="00046F0A" w:rsidP="0004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2DF880" w14:textId="77777777" w:rsidR="00046F0A" w:rsidRDefault="00046F0A" w:rsidP="00046F0A">
      <w:pPr>
        <w:spacing w:after="0" w:line="240" w:lineRule="auto"/>
      </w:pPr>
      <w:r>
        <w:separator/>
      </w:r>
    </w:p>
  </w:footnote>
  <w:footnote w:type="continuationSeparator" w:id="0">
    <w:p w14:paraId="69306EEF" w14:textId="77777777" w:rsidR="00046F0A" w:rsidRDefault="00046F0A" w:rsidP="00046F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39027E" w14:textId="77777777" w:rsidR="0026377E" w:rsidRPr="00735F5E" w:rsidRDefault="00046F0A" w:rsidP="0026377E">
    <w:pPr>
      <w:spacing w:after="0" w:line="480" w:lineRule="auto"/>
      <w:jc w:val="both"/>
      <w:rPr>
        <w:rFonts w:ascii="Trebuchet MS" w:eastAsia="Times New Roman" w:hAnsi="Trebuchet MS" w:cs="Arial"/>
        <w:b/>
        <w:bCs/>
        <w:color w:val="1F4E79" w:themeColor="accent1" w:themeShade="80"/>
        <w:lang w:val="en-GB"/>
      </w:rPr>
    </w:pPr>
    <w:r w:rsidRPr="00046F0A">
      <w:rPr>
        <w:noProof/>
      </w:rPr>
      <w:drawing>
        <wp:inline distT="0" distB="0" distL="0" distR="0" wp14:anchorId="1EE6519F" wp14:editId="04D60FF8">
          <wp:extent cx="2914650" cy="852748"/>
          <wp:effectExtent l="0" t="0" r="0" b="5080"/>
          <wp:docPr id="15" name="image1.jpeg"/>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4650" cy="852748"/>
                  </a:xfrm>
                  <a:prstGeom prst="rect">
                    <a:avLst/>
                  </a:prstGeom>
                </pic:spPr>
              </pic:pic>
            </a:graphicData>
          </a:graphic>
        </wp:inline>
      </w:drawing>
    </w:r>
    <w:r w:rsidR="0026377E">
      <w:tab/>
    </w:r>
    <w:r w:rsidR="0026377E">
      <w:tab/>
    </w:r>
    <w:r w:rsidR="0026377E" w:rsidRPr="00735F5E">
      <w:rPr>
        <w:rFonts w:ascii="Trebuchet MS" w:eastAsia="Times New Roman" w:hAnsi="Trebuchet MS" w:cs="Arial"/>
        <w:b/>
        <w:bCs/>
        <w:color w:val="1F4E79" w:themeColor="accent1" w:themeShade="80"/>
        <w:lang w:val="en-GB"/>
      </w:rPr>
      <w:t>Comments/proposals received during the consultation process</w:t>
    </w:r>
  </w:p>
  <w:p w14:paraId="381B70B9" w14:textId="4067429F" w:rsidR="00EE4B40" w:rsidRPr="00EE4B40" w:rsidRDefault="00735F5E" w:rsidP="00EE4B40">
    <w:pPr>
      <w:jc w:val="both"/>
      <w:rPr>
        <w:rFonts w:ascii="Trebuchet MS" w:eastAsia="Times New Roman" w:hAnsi="Trebuchet MS" w:cs="Arial"/>
        <w:b/>
        <w:bCs/>
        <w:color w:val="1F4E79" w:themeColor="accent1" w:themeShade="80"/>
        <w:lang w:val="en-GB"/>
      </w:rPr>
    </w:pPr>
    <w:r w:rsidRPr="00735F5E">
      <w:rPr>
        <w:rFonts w:ascii="Trebuchet MS" w:eastAsia="Times New Roman" w:hAnsi="Trebuchet MS" w:cs="Arial"/>
        <w:b/>
        <w:bCs/>
        <w:color w:val="1F4E79" w:themeColor="accent1" w:themeShade="80"/>
        <w:lang w:val="en-GB"/>
      </w:rPr>
      <w:t xml:space="preserve">APPLICANT’S GUIDE </w:t>
    </w:r>
    <w:r w:rsidR="00EE4B40" w:rsidRPr="00EE4B40">
      <w:rPr>
        <w:rFonts w:ascii="Trebuchet MS" w:eastAsia="Times New Roman" w:hAnsi="Trebuchet MS" w:cs="Arial"/>
        <w:b/>
        <w:bCs/>
        <w:color w:val="1F4E79" w:themeColor="accent1" w:themeShade="80"/>
        <w:lang w:val="en-GB"/>
      </w:rPr>
      <w:t>O</w:t>
    </w:r>
    <w:r w:rsidR="00EE4B40">
      <w:rPr>
        <w:rFonts w:ascii="Trebuchet MS" w:eastAsia="Times New Roman" w:hAnsi="Trebuchet MS" w:cs="Arial"/>
        <w:b/>
        <w:bCs/>
        <w:color w:val="1F4E79" w:themeColor="accent1" w:themeShade="80"/>
        <w:lang w:val="en-GB"/>
      </w:rPr>
      <w:t>PEN CALL FOR THE OPERATIONS UNDER</w:t>
    </w:r>
    <w:r w:rsidR="00EE4B40" w:rsidRPr="00EE4B40">
      <w:rPr>
        <w:rFonts w:ascii="Trebuchet MS" w:eastAsia="Times New Roman" w:hAnsi="Trebuchet MS" w:cs="Arial"/>
        <w:b/>
        <w:bCs/>
        <w:color w:val="1F4E79" w:themeColor="accent1" w:themeShade="80"/>
        <w:lang w:val="en-GB"/>
      </w:rPr>
      <w:t xml:space="preserve"> PO 4, P</w:t>
    </w:r>
    <w:r w:rsidR="00EE4B40">
      <w:rPr>
        <w:rFonts w:ascii="Trebuchet MS" w:eastAsia="Times New Roman" w:hAnsi="Trebuchet MS" w:cs="Arial"/>
        <w:b/>
        <w:bCs/>
        <w:color w:val="1F4E79" w:themeColor="accent1" w:themeShade="80"/>
        <w:lang w:val="en-GB"/>
      </w:rPr>
      <w:t>RIORITY</w:t>
    </w:r>
    <w:r w:rsidR="00EE4B40" w:rsidRPr="00EE4B40">
      <w:rPr>
        <w:rFonts w:ascii="Trebuchet MS" w:eastAsia="Times New Roman" w:hAnsi="Trebuchet MS" w:cs="Arial"/>
        <w:b/>
        <w:bCs/>
        <w:color w:val="1F4E79" w:themeColor="accent1" w:themeShade="80"/>
        <w:lang w:val="en-GB"/>
      </w:rPr>
      <w:t xml:space="preserve"> 3 AN EDUCATED REGION, SO 4.2</w:t>
    </w:r>
  </w:p>
  <w:p w14:paraId="75215EAE" w14:textId="78AF5767" w:rsidR="00046F0A" w:rsidRPr="00735F5E" w:rsidRDefault="00046F0A" w:rsidP="00735F5E">
    <w:pPr>
      <w:pStyle w:val="Header"/>
      <w:tabs>
        <w:tab w:val="left" w:pos="5587"/>
      </w:tabs>
      <w:jc w:val="center"/>
      <w:rPr>
        <w:rFonts w:ascii="Trebuchet MS" w:eastAsia="Times New Roman" w:hAnsi="Trebuchet MS" w:cs="Arial"/>
        <w:b/>
        <w:bCs/>
        <w:color w:val="1F4E79" w:themeColor="accent1" w:themeShade="80"/>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16.15pt;height:5in" o:bullet="t">
        <v:imagedata r:id="rId1" o:title=""/>
      </v:shape>
    </w:pict>
  </w:numPicBullet>
  <w:abstractNum w:abstractNumId="0" w15:restartNumberingAfterBreak="0">
    <w:nsid w:val="13F95DDB"/>
    <w:multiLevelType w:val="hybridMultilevel"/>
    <w:tmpl w:val="2D3E182C"/>
    <w:lvl w:ilvl="0" w:tplc="2B2A6092">
      <w:start w:val="1"/>
      <w:numFmt w:val="upperRoman"/>
      <w:lvlText w:val="%1."/>
      <w:lvlJc w:val="left"/>
      <w:pPr>
        <w:ind w:left="1080" w:hanging="720"/>
      </w:pPr>
      <w:rPr>
        <w:rFonts w:ascii="Trebuchet MS" w:hAnsi="Trebuchet M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C300BD"/>
    <w:multiLevelType w:val="hybridMultilevel"/>
    <w:tmpl w:val="A3FEC814"/>
    <w:lvl w:ilvl="0" w:tplc="74A0B384">
      <w:start w:val="1"/>
      <w:numFmt w:val="bullet"/>
      <w:lvlText w:val=""/>
      <w:lvlPicBulletId w:val="0"/>
      <w:lvlJc w:val="left"/>
      <w:pPr>
        <w:ind w:left="720" w:hanging="360"/>
      </w:pPr>
      <w:rPr>
        <w:rFonts w:ascii="Symbol" w:hAnsi="Symbo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21676F"/>
    <w:multiLevelType w:val="hybridMultilevel"/>
    <w:tmpl w:val="BF861E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753BC1"/>
    <w:multiLevelType w:val="hybridMultilevel"/>
    <w:tmpl w:val="0582A45C"/>
    <w:lvl w:ilvl="0" w:tplc="340E7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2C17C7"/>
    <w:multiLevelType w:val="hybridMultilevel"/>
    <w:tmpl w:val="F33E387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E51E7A"/>
    <w:multiLevelType w:val="hybridMultilevel"/>
    <w:tmpl w:val="70BEB5B6"/>
    <w:lvl w:ilvl="0" w:tplc="1F880524">
      <w:start w:val="2"/>
      <w:numFmt w:val="upperRoman"/>
      <w:lvlText w:val="%1&gt;"/>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905C80"/>
    <w:multiLevelType w:val="hybridMultilevel"/>
    <w:tmpl w:val="E7B8FE5E"/>
    <w:lvl w:ilvl="0" w:tplc="DA0A356C">
      <w:start w:val="1"/>
      <w:numFmt w:val="upperRoman"/>
      <w:lvlText w:val="%1."/>
      <w:lvlJc w:val="left"/>
      <w:pPr>
        <w:ind w:left="1800" w:hanging="720"/>
      </w:pPr>
      <w:rPr>
        <w:rFonts w:ascii="Trebuchet MS" w:hAnsi="Trebuchet MS" w:hint="default"/>
        <w:b/>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9086023"/>
    <w:multiLevelType w:val="hybridMultilevel"/>
    <w:tmpl w:val="A7B0B0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9AD7A94"/>
    <w:multiLevelType w:val="hybridMultilevel"/>
    <w:tmpl w:val="9CB452E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302F77"/>
    <w:multiLevelType w:val="hybridMultilevel"/>
    <w:tmpl w:val="50E60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57246"/>
    <w:multiLevelType w:val="hybridMultilevel"/>
    <w:tmpl w:val="64CE9260"/>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2F5386"/>
    <w:multiLevelType w:val="hybridMultilevel"/>
    <w:tmpl w:val="F7B6AC02"/>
    <w:lvl w:ilvl="0" w:tplc="04090001">
      <w:start w:val="1"/>
      <w:numFmt w:val="bullet"/>
      <w:lvlText w:val=""/>
      <w:lvlJc w:val="left"/>
      <w:pPr>
        <w:ind w:left="720" w:hanging="360"/>
      </w:pPr>
      <w:rPr>
        <w:rFonts w:ascii="Symbol" w:hAnsi="Symbol" w:hint="default"/>
      </w:rPr>
    </w:lvl>
    <w:lvl w:ilvl="1" w:tplc="74A0B384">
      <w:start w:val="1"/>
      <w:numFmt w:val="bullet"/>
      <w:lvlText w:val=""/>
      <w:lvlPicBulletId w:val="0"/>
      <w:lvlJc w:val="left"/>
      <w:pPr>
        <w:ind w:left="1440" w:hanging="360"/>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9"/>
  </w:num>
  <w:num w:numId="5">
    <w:abstractNumId w:val="6"/>
  </w:num>
  <w:num w:numId="6">
    <w:abstractNumId w:val="11"/>
  </w:num>
  <w:num w:numId="7">
    <w:abstractNumId w:val="7"/>
  </w:num>
  <w:num w:numId="8">
    <w:abstractNumId w:val="4"/>
  </w:num>
  <w:num w:numId="9">
    <w:abstractNumId w:val="10"/>
  </w:num>
  <w:num w:numId="10">
    <w:abstractNumId w:val="1"/>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F0A"/>
    <w:rsid w:val="000111E6"/>
    <w:rsid w:val="000129EC"/>
    <w:rsid w:val="00014E7F"/>
    <w:rsid w:val="00044CC9"/>
    <w:rsid w:val="00046F0A"/>
    <w:rsid w:val="00064A0C"/>
    <w:rsid w:val="00074BF2"/>
    <w:rsid w:val="000A76C5"/>
    <w:rsid w:val="000B0F8A"/>
    <w:rsid w:val="000D6B49"/>
    <w:rsid w:val="000E2D76"/>
    <w:rsid w:val="00100288"/>
    <w:rsid w:val="00101ACF"/>
    <w:rsid w:val="00104388"/>
    <w:rsid w:val="00105A44"/>
    <w:rsid w:val="001206E8"/>
    <w:rsid w:val="0012341B"/>
    <w:rsid w:val="00123CF6"/>
    <w:rsid w:val="001317F6"/>
    <w:rsid w:val="001636AE"/>
    <w:rsid w:val="00171989"/>
    <w:rsid w:val="00180DE9"/>
    <w:rsid w:val="001C4054"/>
    <w:rsid w:val="001D7DEE"/>
    <w:rsid w:val="001E32AC"/>
    <w:rsid w:val="00204C6F"/>
    <w:rsid w:val="0026377E"/>
    <w:rsid w:val="00293CEA"/>
    <w:rsid w:val="002970EA"/>
    <w:rsid w:val="002B7D96"/>
    <w:rsid w:val="002E15A1"/>
    <w:rsid w:val="00303285"/>
    <w:rsid w:val="003275A5"/>
    <w:rsid w:val="00334868"/>
    <w:rsid w:val="00386ECB"/>
    <w:rsid w:val="003F2428"/>
    <w:rsid w:val="00407311"/>
    <w:rsid w:val="00462D6E"/>
    <w:rsid w:val="00470BB0"/>
    <w:rsid w:val="00473D7F"/>
    <w:rsid w:val="004841BC"/>
    <w:rsid w:val="0048674B"/>
    <w:rsid w:val="00497E89"/>
    <w:rsid w:val="004C65C1"/>
    <w:rsid w:val="004D64FC"/>
    <w:rsid w:val="004F676C"/>
    <w:rsid w:val="00504D15"/>
    <w:rsid w:val="0055492C"/>
    <w:rsid w:val="00584679"/>
    <w:rsid w:val="005B476E"/>
    <w:rsid w:val="005D72F1"/>
    <w:rsid w:val="005F1ACE"/>
    <w:rsid w:val="006154CA"/>
    <w:rsid w:val="00630437"/>
    <w:rsid w:val="006461C8"/>
    <w:rsid w:val="0068269D"/>
    <w:rsid w:val="00685A51"/>
    <w:rsid w:val="006B4975"/>
    <w:rsid w:val="00713409"/>
    <w:rsid w:val="00735F5E"/>
    <w:rsid w:val="0077266B"/>
    <w:rsid w:val="007B3F5D"/>
    <w:rsid w:val="007C6068"/>
    <w:rsid w:val="0080566F"/>
    <w:rsid w:val="00816754"/>
    <w:rsid w:val="00824CF2"/>
    <w:rsid w:val="00844CB0"/>
    <w:rsid w:val="00852FA3"/>
    <w:rsid w:val="008C4DC9"/>
    <w:rsid w:val="008D1B2F"/>
    <w:rsid w:val="009030CB"/>
    <w:rsid w:val="00941ED6"/>
    <w:rsid w:val="009614D3"/>
    <w:rsid w:val="00972980"/>
    <w:rsid w:val="00980800"/>
    <w:rsid w:val="009862EC"/>
    <w:rsid w:val="009935DE"/>
    <w:rsid w:val="009B302D"/>
    <w:rsid w:val="009B76A7"/>
    <w:rsid w:val="009C2E40"/>
    <w:rsid w:val="009D3956"/>
    <w:rsid w:val="00A22A27"/>
    <w:rsid w:val="00A319E9"/>
    <w:rsid w:val="00A32DB3"/>
    <w:rsid w:val="00A35CAE"/>
    <w:rsid w:val="00A52A20"/>
    <w:rsid w:val="00A934E6"/>
    <w:rsid w:val="00A97A0B"/>
    <w:rsid w:val="00AA579C"/>
    <w:rsid w:val="00AC739D"/>
    <w:rsid w:val="00AD75AA"/>
    <w:rsid w:val="00AE24B8"/>
    <w:rsid w:val="00AE6920"/>
    <w:rsid w:val="00B019C6"/>
    <w:rsid w:val="00B262EE"/>
    <w:rsid w:val="00B34C52"/>
    <w:rsid w:val="00B36021"/>
    <w:rsid w:val="00BB1954"/>
    <w:rsid w:val="00BE0BE2"/>
    <w:rsid w:val="00BF7007"/>
    <w:rsid w:val="00C640EF"/>
    <w:rsid w:val="00C8702A"/>
    <w:rsid w:val="00C878F3"/>
    <w:rsid w:val="00CB5A11"/>
    <w:rsid w:val="00CD05A1"/>
    <w:rsid w:val="00CD77B4"/>
    <w:rsid w:val="00CE2FBD"/>
    <w:rsid w:val="00CE6650"/>
    <w:rsid w:val="00CF187B"/>
    <w:rsid w:val="00D15E53"/>
    <w:rsid w:val="00D32D2C"/>
    <w:rsid w:val="00D34D4D"/>
    <w:rsid w:val="00D34DFD"/>
    <w:rsid w:val="00D47734"/>
    <w:rsid w:val="00D743BB"/>
    <w:rsid w:val="00D83B3C"/>
    <w:rsid w:val="00D93467"/>
    <w:rsid w:val="00DA230A"/>
    <w:rsid w:val="00DD0EB1"/>
    <w:rsid w:val="00DE4B12"/>
    <w:rsid w:val="00DF625F"/>
    <w:rsid w:val="00DF7E44"/>
    <w:rsid w:val="00E153DE"/>
    <w:rsid w:val="00E23B3B"/>
    <w:rsid w:val="00ED0029"/>
    <w:rsid w:val="00EE2220"/>
    <w:rsid w:val="00EE4B40"/>
    <w:rsid w:val="00F33504"/>
    <w:rsid w:val="00F422D1"/>
    <w:rsid w:val="00F64576"/>
    <w:rsid w:val="00F92774"/>
    <w:rsid w:val="00FA1F89"/>
    <w:rsid w:val="00FB433B"/>
    <w:rsid w:val="00FB7060"/>
    <w:rsid w:val="00FE5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CDD9C"/>
  <w15:chartTrackingRefBased/>
  <w15:docId w15:val="{D4FF4E0F-08F0-4F8D-B700-5C51F33B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6F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ERP-List Paragraph,List Paragraph11,Bullet EY,List Paragraph1,Normal bullet 2,Forth level,Bullet 1,Table of contents numbered,A_wyliczenie,K-P_odwolanie,Akapit z listą5,maz_wyliczenie,opis dzialania,Akapit z listą BS,Outlines a.b.c.,3,bu"/>
    <w:basedOn w:val="Normal"/>
    <w:link w:val="ListParagraphChar"/>
    <w:uiPriority w:val="34"/>
    <w:qFormat/>
    <w:rsid w:val="00046F0A"/>
    <w:pPr>
      <w:ind w:left="720"/>
      <w:contextualSpacing/>
    </w:pPr>
  </w:style>
  <w:style w:type="paragraph" w:styleId="Header">
    <w:name w:val="header"/>
    <w:basedOn w:val="Normal"/>
    <w:link w:val="HeaderChar"/>
    <w:uiPriority w:val="99"/>
    <w:unhideWhenUsed/>
    <w:rsid w:val="00046F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F0A"/>
  </w:style>
  <w:style w:type="paragraph" w:styleId="Footer">
    <w:name w:val="footer"/>
    <w:basedOn w:val="Normal"/>
    <w:link w:val="FooterChar"/>
    <w:uiPriority w:val="99"/>
    <w:unhideWhenUsed/>
    <w:rsid w:val="0004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F0A"/>
  </w:style>
  <w:style w:type="character" w:styleId="Hyperlink">
    <w:name w:val="Hyperlink"/>
    <w:basedOn w:val="DefaultParagraphFont"/>
    <w:uiPriority w:val="99"/>
    <w:unhideWhenUsed/>
    <w:rsid w:val="00852FA3"/>
    <w:rPr>
      <w:color w:val="0000FF"/>
      <w:u w:val="single"/>
    </w:rPr>
  </w:style>
  <w:style w:type="character" w:customStyle="1" w:styleId="ListParagraphChar">
    <w:name w:val="List Paragraph Char"/>
    <w:aliases w:val="ERP-List Paragraph Char,List Paragraph11 Char,Bullet EY Char,List Paragraph1 Char,Normal bullet 2 Char,Forth level Char,Bullet 1 Char,Table of contents numbered Char,A_wyliczenie Char,K-P_odwolanie Char,Akapit z listą5 Char,3 Char"/>
    <w:basedOn w:val="DefaultParagraphFont"/>
    <w:link w:val="ListParagraph"/>
    <w:uiPriority w:val="34"/>
    <w:qFormat/>
    <w:rsid w:val="004841BC"/>
  </w:style>
  <w:style w:type="character" w:styleId="CommentReference">
    <w:name w:val="annotation reference"/>
    <w:basedOn w:val="DefaultParagraphFont"/>
    <w:uiPriority w:val="99"/>
    <w:semiHidden/>
    <w:unhideWhenUsed/>
    <w:rsid w:val="00FB433B"/>
    <w:rPr>
      <w:sz w:val="16"/>
      <w:szCs w:val="16"/>
    </w:rPr>
  </w:style>
  <w:style w:type="paragraph" w:styleId="CommentText">
    <w:name w:val="annotation text"/>
    <w:basedOn w:val="Normal"/>
    <w:link w:val="CommentTextChar"/>
    <w:uiPriority w:val="99"/>
    <w:semiHidden/>
    <w:unhideWhenUsed/>
    <w:rsid w:val="00FB433B"/>
    <w:pPr>
      <w:spacing w:line="240" w:lineRule="auto"/>
    </w:pPr>
    <w:rPr>
      <w:sz w:val="20"/>
      <w:szCs w:val="20"/>
    </w:rPr>
  </w:style>
  <w:style w:type="character" w:customStyle="1" w:styleId="CommentTextChar">
    <w:name w:val="Comment Text Char"/>
    <w:basedOn w:val="DefaultParagraphFont"/>
    <w:link w:val="CommentText"/>
    <w:uiPriority w:val="99"/>
    <w:semiHidden/>
    <w:rsid w:val="00FB433B"/>
    <w:rPr>
      <w:sz w:val="20"/>
      <w:szCs w:val="20"/>
    </w:rPr>
  </w:style>
  <w:style w:type="paragraph" w:styleId="CommentSubject">
    <w:name w:val="annotation subject"/>
    <w:basedOn w:val="CommentText"/>
    <w:next w:val="CommentText"/>
    <w:link w:val="CommentSubjectChar"/>
    <w:uiPriority w:val="99"/>
    <w:semiHidden/>
    <w:unhideWhenUsed/>
    <w:rsid w:val="00FB433B"/>
    <w:rPr>
      <w:b/>
      <w:bCs/>
    </w:rPr>
  </w:style>
  <w:style w:type="character" w:customStyle="1" w:styleId="CommentSubjectChar">
    <w:name w:val="Comment Subject Char"/>
    <w:basedOn w:val="CommentTextChar"/>
    <w:link w:val="CommentSubject"/>
    <w:uiPriority w:val="99"/>
    <w:semiHidden/>
    <w:rsid w:val="00FB433B"/>
    <w:rPr>
      <w:b/>
      <w:bCs/>
      <w:sz w:val="20"/>
      <w:szCs w:val="20"/>
    </w:rPr>
  </w:style>
  <w:style w:type="paragraph" w:styleId="BalloonText">
    <w:name w:val="Balloon Text"/>
    <w:basedOn w:val="Normal"/>
    <w:link w:val="BalloonTextChar"/>
    <w:uiPriority w:val="99"/>
    <w:semiHidden/>
    <w:unhideWhenUsed/>
    <w:rsid w:val="001043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43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680401">
      <w:bodyDiv w:val="1"/>
      <w:marLeft w:val="0"/>
      <w:marRight w:val="0"/>
      <w:marTop w:val="0"/>
      <w:marBottom w:val="0"/>
      <w:divBdr>
        <w:top w:val="none" w:sz="0" w:space="0" w:color="auto"/>
        <w:left w:val="none" w:sz="0" w:space="0" w:color="auto"/>
        <w:bottom w:val="none" w:sz="0" w:space="0" w:color="auto"/>
        <w:right w:val="none" w:sz="0" w:space="0" w:color="auto"/>
      </w:divBdr>
    </w:div>
    <w:div w:id="142695499">
      <w:bodyDiv w:val="1"/>
      <w:marLeft w:val="0"/>
      <w:marRight w:val="0"/>
      <w:marTop w:val="0"/>
      <w:marBottom w:val="0"/>
      <w:divBdr>
        <w:top w:val="none" w:sz="0" w:space="0" w:color="auto"/>
        <w:left w:val="none" w:sz="0" w:space="0" w:color="auto"/>
        <w:bottom w:val="none" w:sz="0" w:space="0" w:color="auto"/>
        <w:right w:val="none" w:sz="0" w:space="0" w:color="auto"/>
      </w:divBdr>
    </w:div>
    <w:div w:id="186530242">
      <w:bodyDiv w:val="1"/>
      <w:marLeft w:val="0"/>
      <w:marRight w:val="0"/>
      <w:marTop w:val="0"/>
      <w:marBottom w:val="0"/>
      <w:divBdr>
        <w:top w:val="none" w:sz="0" w:space="0" w:color="auto"/>
        <w:left w:val="none" w:sz="0" w:space="0" w:color="auto"/>
        <w:bottom w:val="none" w:sz="0" w:space="0" w:color="auto"/>
        <w:right w:val="none" w:sz="0" w:space="0" w:color="auto"/>
      </w:divBdr>
    </w:div>
    <w:div w:id="377439612">
      <w:bodyDiv w:val="1"/>
      <w:marLeft w:val="0"/>
      <w:marRight w:val="0"/>
      <w:marTop w:val="0"/>
      <w:marBottom w:val="0"/>
      <w:divBdr>
        <w:top w:val="none" w:sz="0" w:space="0" w:color="auto"/>
        <w:left w:val="none" w:sz="0" w:space="0" w:color="auto"/>
        <w:bottom w:val="none" w:sz="0" w:space="0" w:color="auto"/>
        <w:right w:val="none" w:sz="0" w:space="0" w:color="auto"/>
      </w:divBdr>
    </w:div>
    <w:div w:id="439764550">
      <w:bodyDiv w:val="1"/>
      <w:marLeft w:val="0"/>
      <w:marRight w:val="0"/>
      <w:marTop w:val="0"/>
      <w:marBottom w:val="0"/>
      <w:divBdr>
        <w:top w:val="none" w:sz="0" w:space="0" w:color="auto"/>
        <w:left w:val="none" w:sz="0" w:space="0" w:color="auto"/>
        <w:bottom w:val="none" w:sz="0" w:space="0" w:color="auto"/>
        <w:right w:val="none" w:sz="0" w:space="0" w:color="auto"/>
      </w:divBdr>
    </w:div>
    <w:div w:id="465974843">
      <w:bodyDiv w:val="1"/>
      <w:marLeft w:val="0"/>
      <w:marRight w:val="0"/>
      <w:marTop w:val="0"/>
      <w:marBottom w:val="0"/>
      <w:divBdr>
        <w:top w:val="none" w:sz="0" w:space="0" w:color="auto"/>
        <w:left w:val="none" w:sz="0" w:space="0" w:color="auto"/>
        <w:bottom w:val="none" w:sz="0" w:space="0" w:color="auto"/>
        <w:right w:val="none" w:sz="0" w:space="0" w:color="auto"/>
      </w:divBdr>
    </w:div>
    <w:div w:id="688409907">
      <w:bodyDiv w:val="1"/>
      <w:marLeft w:val="0"/>
      <w:marRight w:val="0"/>
      <w:marTop w:val="0"/>
      <w:marBottom w:val="0"/>
      <w:divBdr>
        <w:top w:val="none" w:sz="0" w:space="0" w:color="auto"/>
        <w:left w:val="none" w:sz="0" w:space="0" w:color="auto"/>
        <w:bottom w:val="none" w:sz="0" w:space="0" w:color="auto"/>
        <w:right w:val="none" w:sz="0" w:space="0" w:color="auto"/>
      </w:divBdr>
    </w:div>
    <w:div w:id="803549249">
      <w:bodyDiv w:val="1"/>
      <w:marLeft w:val="0"/>
      <w:marRight w:val="0"/>
      <w:marTop w:val="0"/>
      <w:marBottom w:val="0"/>
      <w:divBdr>
        <w:top w:val="none" w:sz="0" w:space="0" w:color="auto"/>
        <w:left w:val="none" w:sz="0" w:space="0" w:color="auto"/>
        <w:bottom w:val="none" w:sz="0" w:space="0" w:color="auto"/>
        <w:right w:val="none" w:sz="0" w:space="0" w:color="auto"/>
      </w:divBdr>
    </w:div>
    <w:div w:id="855270650">
      <w:bodyDiv w:val="1"/>
      <w:marLeft w:val="0"/>
      <w:marRight w:val="0"/>
      <w:marTop w:val="0"/>
      <w:marBottom w:val="0"/>
      <w:divBdr>
        <w:top w:val="none" w:sz="0" w:space="0" w:color="auto"/>
        <w:left w:val="none" w:sz="0" w:space="0" w:color="auto"/>
        <w:bottom w:val="none" w:sz="0" w:space="0" w:color="auto"/>
        <w:right w:val="none" w:sz="0" w:space="0" w:color="auto"/>
      </w:divBdr>
    </w:div>
    <w:div w:id="879393274">
      <w:bodyDiv w:val="1"/>
      <w:marLeft w:val="0"/>
      <w:marRight w:val="0"/>
      <w:marTop w:val="0"/>
      <w:marBottom w:val="0"/>
      <w:divBdr>
        <w:top w:val="none" w:sz="0" w:space="0" w:color="auto"/>
        <w:left w:val="none" w:sz="0" w:space="0" w:color="auto"/>
        <w:bottom w:val="none" w:sz="0" w:space="0" w:color="auto"/>
        <w:right w:val="none" w:sz="0" w:space="0" w:color="auto"/>
      </w:divBdr>
    </w:div>
    <w:div w:id="1182669308">
      <w:bodyDiv w:val="1"/>
      <w:marLeft w:val="0"/>
      <w:marRight w:val="0"/>
      <w:marTop w:val="0"/>
      <w:marBottom w:val="0"/>
      <w:divBdr>
        <w:top w:val="none" w:sz="0" w:space="0" w:color="auto"/>
        <w:left w:val="none" w:sz="0" w:space="0" w:color="auto"/>
        <w:bottom w:val="none" w:sz="0" w:space="0" w:color="auto"/>
        <w:right w:val="none" w:sz="0" w:space="0" w:color="auto"/>
      </w:divBdr>
    </w:div>
    <w:div w:id="1214997257">
      <w:bodyDiv w:val="1"/>
      <w:marLeft w:val="0"/>
      <w:marRight w:val="0"/>
      <w:marTop w:val="0"/>
      <w:marBottom w:val="0"/>
      <w:divBdr>
        <w:top w:val="none" w:sz="0" w:space="0" w:color="auto"/>
        <w:left w:val="none" w:sz="0" w:space="0" w:color="auto"/>
        <w:bottom w:val="none" w:sz="0" w:space="0" w:color="auto"/>
        <w:right w:val="none" w:sz="0" w:space="0" w:color="auto"/>
      </w:divBdr>
    </w:div>
    <w:div w:id="1407650051">
      <w:bodyDiv w:val="1"/>
      <w:marLeft w:val="0"/>
      <w:marRight w:val="0"/>
      <w:marTop w:val="0"/>
      <w:marBottom w:val="0"/>
      <w:divBdr>
        <w:top w:val="none" w:sz="0" w:space="0" w:color="auto"/>
        <w:left w:val="none" w:sz="0" w:space="0" w:color="auto"/>
        <w:bottom w:val="none" w:sz="0" w:space="0" w:color="auto"/>
        <w:right w:val="none" w:sz="0" w:space="0" w:color="auto"/>
      </w:divBdr>
    </w:div>
    <w:div w:id="1434007579">
      <w:bodyDiv w:val="1"/>
      <w:marLeft w:val="0"/>
      <w:marRight w:val="0"/>
      <w:marTop w:val="0"/>
      <w:marBottom w:val="0"/>
      <w:divBdr>
        <w:top w:val="none" w:sz="0" w:space="0" w:color="auto"/>
        <w:left w:val="none" w:sz="0" w:space="0" w:color="auto"/>
        <w:bottom w:val="none" w:sz="0" w:space="0" w:color="auto"/>
        <w:right w:val="none" w:sz="0" w:space="0" w:color="auto"/>
      </w:divBdr>
    </w:div>
    <w:div w:id="1509447757">
      <w:bodyDiv w:val="1"/>
      <w:marLeft w:val="0"/>
      <w:marRight w:val="0"/>
      <w:marTop w:val="0"/>
      <w:marBottom w:val="0"/>
      <w:divBdr>
        <w:top w:val="none" w:sz="0" w:space="0" w:color="auto"/>
        <w:left w:val="none" w:sz="0" w:space="0" w:color="auto"/>
        <w:bottom w:val="none" w:sz="0" w:space="0" w:color="auto"/>
        <w:right w:val="none" w:sz="0" w:space="0" w:color="auto"/>
      </w:divBdr>
    </w:div>
    <w:div w:id="1563758650">
      <w:bodyDiv w:val="1"/>
      <w:marLeft w:val="0"/>
      <w:marRight w:val="0"/>
      <w:marTop w:val="0"/>
      <w:marBottom w:val="0"/>
      <w:divBdr>
        <w:top w:val="none" w:sz="0" w:space="0" w:color="auto"/>
        <w:left w:val="none" w:sz="0" w:space="0" w:color="auto"/>
        <w:bottom w:val="none" w:sz="0" w:space="0" w:color="auto"/>
        <w:right w:val="none" w:sz="0" w:space="0" w:color="auto"/>
      </w:divBdr>
    </w:div>
    <w:div w:id="1566722348">
      <w:bodyDiv w:val="1"/>
      <w:marLeft w:val="0"/>
      <w:marRight w:val="0"/>
      <w:marTop w:val="0"/>
      <w:marBottom w:val="0"/>
      <w:divBdr>
        <w:top w:val="none" w:sz="0" w:space="0" w:color="auto"/>
        <w:left w:val="none" w:sz="0" w:space="0" w:color="auto"/>
        <w:bottom w:val="none" w:sz="0" w:space="0" w:color="auto"/>
        <w:right w:val="none" w:sz="0" w:space="0" w:color="auto"/>
      </w:divBdr>
    </w:div>
    <w:div w:id="1761757104">
      <w:bodyDiv w:val="1"/>
      <w:marLeft w:val="0"/>
      <w:marRight w:val="0"/>
      <w:marTop w:val="0"/>
      <w:marBottom w:val="0"/>
      <w:divBdr>
        <w:top w:val="none" w:sz="0" w:space="0" w:color="auto"/>
        <w:left w:val="none" w:sz="0" w:space="0" w:color="auto"/>
        <w:bottom w:val="none" w:sz="0" w:space="0" w:color="auto"/>
        <w:right w:val="none" w:sz="0" w:space="0" w:color="auto"/>
      </w:divBdr>
    </w:div>
    <w:div w:id="1777363290">
      <w:bodyDiv w:val="1"/>
      <w:marLeft w:val="0"/>
      <w:marRight w:val="0"/>
      <w:marTop w:val="0"/>
      <w:marBottom w:val="0"/>
      <w:divBdr>
        <w:top w:val="none" w:sz="0" w:space="0" w:color="auto"/>
        <w:left w:val="none" w:sz="0" w:space="0" w:color="auto"/>
        <w:bottom w:val="none" w:sz="0" w:space="0" w:color="auto"/>
        <w:right w:val="none" w:sz="0" w:space="0" w:color="auto"/>
      </w:divBdr>
    </w:div>
    <w:div w:id="1949971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EAF5AC-49A6-4B3E-8EDC-F08C5B5C8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4</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Mariuca Carmaciu</dc:creator>
  <cp:keywords/>
  <dc:description/>
  <cp:lastModifiedBy>Marcela Glodeanu</cp:lastModifiedBy>
  <cp:revision>126</cp:revision>
  <dcterms:created xsi:type="dcterms:W3CDTF">2023-02-22T07:53:00Z</dcterms:created>
  <dcterms:modified xsi:type="dcterms:W3CDTF">2024-04-09T07:34:00Z</dcterms:modified>
</cp:coreProperties>
</file>