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3"/>
        <w:gridCol w:w="1869"/>
        <w:gridCol w:w="730"/>
        <w:gridCol w:w="9850"/>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bookmarkStart w:id="1" w:name="_GoBack"/>
            <w:bookmarkEnd w:id="1"/>
            <w:r w:rsidRPr="00227684">
              <w:rPr>
                <w:color w:val="1F3864" w:themeColor="accent5" w:themeShade="80"/>
                <w:sz w:val="22"/>
                <w:szCs w:val="22"/>
                <w:lang w:val="en-US"/>
              </w:rPr>
              <w:t>Annex</w:t>
            </w:r>
            <w:r w:rsidR="000C525A">
              <w:rPr>
                <w:color w:val="1F3864" w:themeColor="accent5" w:themeShade="80"/>
                <w:sz w:val="22"/>
                <w:szCs w:val="22"/>
                <w:lang w:val="en-US"/>
              </w:rPr>
              <w:t xml:space="preserve"> AG_E</w:t>
            </w:r>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proofErr w:type="gramStart"/>
            <w:r w:rsidRPr="006D788C">
              <w:rPr>
                <w:b/>
                <w:color w:val="FF0000"/>
                <w:lang w:val="en-US"/>
              </w:rPr>
              <w:t>check</w:t>
            </w:r>
            <w:proofErr w:type="gramEnd"/>
            <w:r w:rsidRPr="006D788C">
              <w:rPr>
                <w:b/>
                <w:color w:val="FF0000"/>
                <w:lang w:val="en-US"/>
              </w:rPr>
              <w:t xml:space="preserve"> the </w:t>
            </w:r>
            <w:r w:rsidRPr="006D788C">
              <w:rPr>
                <w:color w:val="1F3864" w:themeColor="accent5" w:themeShade="80"/>
                <w:lang w:val="en-US"/>
              </w:rPr>
              <w:t xml:space="preserv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check the SEA indicators you have to report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proofErr w:type="gramStart"/>
            <w:r>
              <w:rPr>
                <w:b/>
                <w:color w:val="FF0000"/>
                <w:lang w:val="en-US"/>
              </w:rPr>
              <w:t>check</w:t>
            </w:r>
            <w:proofErr w:type="gramEnd"/>
            <w:r>
              <w:rPr>
                <w:b/>
                <w:color w:val="FF0000"/>
                <w:lang w:val="en-US"/>
              </w:rPr>
              <w:t xml:space="preserve">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 xml:space="preserve">ll these shall be check during the assessment process by the Assessment Committee and followed during the project implementation by the </w:t>
            </w:r>
            <w:proofErr w:type="spellStart"/>
            <w:r w:rsidRPr="006D788C">
              <w:rPr>
                <w:b/>
                <w:color w:val="FF0000"/>
                <w:lang w:val="en-US"/>
              </w:rPr>
              <w:t>Programme</w:t>
            </w:r>
            <w:proofErr w:type="spellEnd"/>
            <w:r w:rsidRPr="006D788C">
              <w:rPr>
                <w:b/>
                <w:color w:val="FF0000"/>
                <w:lang w:val="en-US"/>
              </w:rPr>
              <w:t xml:space="preserv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 xml:space="preserve">Works for railway modernization (including electrification of the railway lines and introduction of the ERTMS / ETCS railway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and implementing joint </w:t>
            </w:r>
            <w:proofErr w:type="spellStart"/>
            <w:r w:rsidRPr="000E0527">
              <w:rPr>
                <w:color w:val="1F3864" w:themeColor="accent5" w:themeShade="80"/>
                <w:sz w:val="22"/>
                <w:szCs w:val="22"/>
                <w:lang w:val="en-US"/>
              </w:rPr>
              <w:t>co-ordinated</w:t>
            </w:r>
            <w:proofErr w:type="spellEnd"/>
            <w:r w:rsidRPr="000E0527">
              <w:rPr>
                <w:color w:val="1F3864" w:themeColor="accent5" w:themeShade="80"/>
                <w:sz w:val="22"/>
                <w:szCs w:val="22"/>
                <w:lang w:val="en-US"/>
              </w:rPr>
              <w:t xml:space="preserve">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w:t>
            </w:r>
            <w:r w:rsidR="00DF38B2" w:rsidRPr="000E0527">
              <w:rPr>
                <w:color w:val="1F3864" w:themeColor="accent5" w:themeShade="80"/>
                <w:sz w:val="22"/>
                <w:szCs w:val="22"/>
                <w:lang w:val="en-US"/>
              </w:rPr>
              <w:t>behavioral</w:t>
            </w:r>
            <w:r w:rsidRPr="000E0527">
              <w:rPr>
                <w:color w:val="1F3864" w:themeColor="accent5" w:themeShade="80"/>
                <w:sz w:val="22"/>
                <w:szCs w:val="22"/>
                <w:lang w:val="en-US"/>
              </w:rPr>
              <w:t xml:space="preserve">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Supporting water and land management through green solutions (for example: swales, creek restoration and nature </w:t>
            </w:r>
            <w:proofErr w:type="spellStart"/>
            <w:r w:rsidRPr="000E0527">
              <w:rPr>
                <w:color w:val="1F3864" w:themeColor="accent5" w:themeShade="80"/>
                <w:sz w:val="22"/>
                <w:szCs w:val="22"/>
                <w:lang w:val="en-US"/>
              </w:rPr>
              <w:t>scaping</w:t>
            </w:r>
            <w:proofErr w:type="spellEnd"/>
            <w:r w:rsidRPr="000E0527">
              <w:rPr>
                <w:color w:val="1F3864" w:themeColor="accent5" w:themeShade="80"/>
                <w:sz w:val="22"/>
                <w:szCs w:val="22"/>
                <w:lang w:val="en-US"/>
              </w:rPr>
              <w:t>,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Protection and restoration of nature and biodiversity, located within and near settlements through appropriate joint solutions, including through the creation of ecological corridors, green bridges, eco- passages, green infrastructure,  </w:t>
            </w:r>
            <w:proofErr w:type="spellStart"/>
            <w:r w:rsidRPr="000E0527">
              <w:rPr>
                <w:color w:val="1F3864" w:themeColor="accent5" w:themeShade="80"/>
                <w:sz w:val="22"/>
                <w:szCs w:val="22"/>
                <w:lang w:val="en-US"/>
              </w:rPr>
              <w:t>ecoducts</w:t>
            </w:r>
            <w:proofErr w:type="spellEnd"/>
            <w:r w:rsidRPr="000E0527">
              <w:rPr>
                <w:color w:val="1F3864" w:themeColor="accent5" w:themeShade="80"/>
                <w:sz w:val="22"/>
                <w:szCs w:val="22"/>
                <w:lang w:val="en-US"/>
              </w:rPr>
              <w:t>,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Raising awareness of the benefits of green spaces, including in urban areas, encouraging local actions for greener settlements and rehabilitation of brownfields, driving </w:t>
            </w:r>
            <w:proofErr w:type="spellStart"/>
            <w:r w:rsidRPr="000E0527">
              <w:rPr>
                <w:color w:val="1F3864" w:themeColor="accent5" w:themeShade="80"/>
                <w:sz w:val="22"/>
                <w:szCs w:val="22"/>
                <w:lang w:val="en-US"/>
              </w:rPr>
              <w:t>behavioural</w:t>
            </w:r>
            <w:proofErr w:type="spellEnd"/>
            <w:r w:rsidRPr="000E0527">
              <w:rPr>
                <w:color w:val="1F3864" w:themeColor="accent5" w:themeShade="80"/>
                <w:sz w:val="22"/>
                <w:szCs w:val="22"/>
                <w:lang w:val="en-US"/>
              </w:rPr>
              <w:t xml:space="preserve">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w:t>
            </w:r>
            <w:proofErr w:type="spellStart"/>
            <w:r w:rsidRPr="000E0527">
              <w:rPr>
                <w:color w:val="1F3864" w:themeColor="accent5" w:themeShade="80"/>
                <w:sz w:val="22"/>
                <w:szCs w:val="22"/>
                <w:lang w:val="en-US"/>
              </w:rPr>
              <w:t>digitised</w:t>
            </w:r>
            <w:proofErr w:type="spellEnd"/>
            <w:r w:rsidRPr="000E0527">
              <w:rPr>
                <w:color w:val="1F3864" w:themeColor="accent5" w:themeShade="80"/>
                <w:sz w:val="22"/>
                <w:szCs w:val="22"/>
                <w:lang w:val="en-US"/>
              </w:rPr>
              <w:t xml:space="preserve">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Development of cross-border internship or placements and student exchange </w:t>
            </w:r>
            <w:proofErr w:type="spellStart"/>
            <w:r w:rsidRPr="000E0527">
              <w:rPr>
                <w:color w:val="1F3864" w:themeColor="accent5" w:themeShade="80"/>
                <w:sz w:val="22"/>
                <w:szCs w:val="22"/>
                <w:lang w:val="en-US"/>
              </w:rPr>
              <w:t>programmes</w:t>
            </w:r>
            <w:proofErr w:type="spellEnd"/>
            <w:r w:rsidRPr="000E0527">
              <w:rPr>
                <w:color w:val="1F3864" w:themeColor="accent5" w:themeShade="80"/>
                <w:sz w:val="22"/>
                <w:szCs w:val="22"/>
                <w:lang w:val="en-US"/>
              </w:rPr>
              <w:t xml:space="preserve">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Joint measures for improving the link between the </w:t>
            </w:r>
            <w:proofErr w:type="spellStart"/>
            <w:r w:rsidRPr="000E0527">
              <w:rPr>
                <w:color w:val="1F3864" w:themeColor="accent5" w:themeShade="80"/>
                <w:sz w:val="22"/>
                <w:szCs w:val="22"/>
                <w:lang w:val="en-US"/>
              </w:rPr>
              <w:t>labour</w:t>
            </w:r>
            <w:proofErr w:type="spellEnd"/>
            <w:r w:rsidRPr="000E0527">
              <w:rPr>
                <w:color w:val="1F3864" w:themeColor="accent5" w:themeShade="80"/>
                <w:sz w:val="22"/>
                <w:szCs w:val="22"/>
                <w:lang w:val="en-US"/>
              </w:rPr>
              <w:t xml:space="preserve">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 xml:space="preserve">Developing the </w:t>
            </w:r>
            <w:proofErr w:type="spellStart"/>
            <w:r w:rsidRPr="000E0527">
              <w:rPr>
                <w:b/>
                <w:bCs/>
                <w:color w:val="1F3864" w:themeColor="accent5" w:themeShade="80"/>
                <w:sz w:val="22"/>
                <w:szCs w:val="22"/>
                <w:lang w:val="en-US"/>
              </w:rPr>
              <w:t>Eurovelo</w:t>
            </w:r>
            <w:proofErr w:type="spellEnd"/>
            <w:r w:rsidRPr="000E0527">
              <w:rPr>
                <w:b/>
                <w:bCs/>
                <w:color w:val="1F3864" w:themeColor="accent5" w:themeShade="80"/>
                <w:sz w:val="22"/>
                <w:szCs w:val="22"/>
                <w:lang w:val="en-US"/>
              </w:rPr>
              <w:t xml:space="preserve">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Developing the necessary cycling infrastructure, including safety measures, first aid and service points,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in view of complying with standards related to traffic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appropriate services along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w:t>
            </w:r>
            <w:proofErr w:type="spellStart"/>
            <w:r w:rsidRPr="000E0527">
              <w:rPr>
                <w:color w:val="1F3864" w:themeColor="accent5" w:themeShade="80"/>
                <w:sz w:val="22"/>
                <w:szCs w:val="22"/>
                <w:lang w:val="en-US"/>
              </w:rPr>
              <w:t>modernisation</w:t>
            </w:r>
            <w:proofErr w:type="spellEnd"/>
            <w:r w:rsidRPr="000E0527">
              <w:rPr>
                <w:color w:val="1F3864" w:themeColor="accent5" w:themeShade="80"/>
                <w:sz w:val="22"/>
                <w:szCs w:val="22"/>
                <w:lang w:val="en-US"/>
              </w:rPr>
              <w:t xml:space="preserve"> of productive facilities; supply of relevant equipment; adoption of digital technologies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 xml:space="preserve">;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Set-up of natural sites for economic use: trails / paths, waste disposal, security,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camp sites, other open-air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 xml:space="preserve">libraries, art collections/galleries, exhibitions places, wineries, agro-farms (e.g.; lavender farms/fields; roses farms/fields, traditional oil factories, sheepfolds), adventure parks, open 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w:t>
            </w:r>
            <w:proofErr w:type="spellStart"/>
            <w:r w:rsidRPr="000E0527">
              <w:rPr>
                <w:color w:val="1F3864" w:themeColor="accent5" w:themeShade="80"/>
                <w:sz w:val="22"/>
                <w:szCs w:val="22"/>
                <w:lang w:val="en-US"/>
              </w:rPr>
              <w:t>valorise</w:t>
            </w:r>
            <w:proofErr w:type="spellEnd"/>
            <w:r w:rsidRPr="000E0527">
              <w:rPr>
                <w:color w:val="1F3864" w:themeColor="accent5" w:themeShade="80"/>
                <w:sz w:val="22"/>
                <w:szCs w:val="22"/>
                <w:lang w:val="en-US"/>
              </w:rPr>
              <w:t xml:space="preserve"> potentially valuable touristic objectives /sites / experiences, including by creating sustainable tourism trails, or developing quality labels for excellence in services, promoting and marketing the touristic offer etc. taking advantage of social media trends – such as “</w:t>
            </w:r>
            <w:proofErr w:type="spellStart"/>
            <w:r w:rsidRPr="000E0527">
              <w:rPr>
                <w:color w:val="1F3864" w:themeColor="accent5" w:themeShade="80"/>
                <w:sz w:val="22"/>
                <w:szCs w:val="22"/>
                <w:lang w:val="en-US"/>
              </w:rPr>
              <w:t>insta</w:t>
            </w:r>
            <w:proofErr w:type="spellEnd"/>
            <w:r w:rsidRPr="000E0527">
              <w:rPr>
                <w:color w:val="1F3864" w:themeColor="accent5" w:themeShade="80"/>
                <w:sz w:val="22"/>
                <w:szCs w:val="22"/>
                <w:lang w:val="en-US"/>
              </w:rPr>
              <w:t xml:space="preserve">-tourism”,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w:t>
            </w:r>
            <w:proofErr w:type="spellStart"/>
            <w:r w:rsidRPr="000E0527">
              <w:rPr>
                <w:rFonts w:cstheme="minorHAnsi"/>
                <w:color w:val="1F3864" w:themeColor="accent5" w:themeShade="80"/>
                <w:sz w:val="22"/>
                <w:szCs w:val="22"/>
                <w:lang w:val="en-US"/>
              </w:rPr>
              <w:t>artificialization</w:t>
            </w:r>
            <w:proofErr w:type="spellEnd"/>
            <w:r w:rsidRPr="000E0527">
              <w:rPr>
                <w:rFonts w:cstheme="minorHAnsi"/>
                <w:color w:val="1F3864" w:themeColor="accent5" w:themeShade="80"/>
                <w:sz w:val="22"/>
                <w:szCs w:val="22"/>
                <w:lang w:val="en-US"/>
              </w:rPr>
              <w:t xml:space="preserve">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A1, A12 </w:t>
            </w:r>
            <w:proofErr w:type="spellStart"/>
            <w:r w:rsidRPr="000E0527">
              <w:rPr>
                <w:rFonts w:cstheme="minorHAnsi"/>
                <w:color w:val="1F3864" w:themeColor="accent5" w:themeShade="80"/>
                <w:sz w:val="22"/>
                <w:szCs w:val="22"/>
                <w:lang w:val="en-US"/>
              </w:rPr>
              <w:t>și</w:t>
            </w:r>
            <w:proofErr w:type="spellEnd"/>
            <w:r w:rsidRPr="000E0527">
              <w:rPr>
                <w:rFonts w:cstheme="minorHAnsi"/>
                <w:color w:val="1F3864" w:themeColor="accent5" w:themeShade="80"/>
                <w:sz w:val="22"/>
                <w:szCs w:val="22"/>
                <w:lang w:val="en-US"/>
              </w:rPr>
              <w:t xml:space="preserve">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xml:space="preserve">, in line with the national provisions, at the implementation of the </w:t>
      </w:r>
      <w:proofErr w:type="spellStart"/>
      <w:r w:rsidRPr="001D2D5D">
        <w:rPr>
          <w:rFonts w:eastAsia="Calibri" w:cs="Times New Roman"/>
          <w:color w:val="1F3864" w:themeColor="accent5" w:themeShade="80"/>
          <w:szCs w:val="22"/>
          <w:lang w:val="en-US"/>
        </w:rPr>
        <w:t>Programme’s</w:t>
      </w:r>
      <w:proofErr w:type="spellEnd"/>
      <w:r w:rsidRPr="001D2D5D">
        <w:rPr>
          <w:rFonts w:eastAsia="Calibri" w:cs="Times New Roman"/>
          <w:color w:val="1F3864" w:themeColor="accent5" w:themeShade="80"/>
          <w:szCs w:val="22"/>
          <w:lang w:val="en-US"/>
        </w:rPr>
        <w:t xml:space="preserve">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 xml:space="preserve">River Basin Directorates – Bulgaria and Regional Inspectorate of Environment and Water – </w:t>
      </w:r>
      <w:proofErr w:type="spellStart"/>
      <w:r w:rsidRPr="001D2D5D">
        <w:rPr>
          <w:rFonts w:eastAsia="Calibri" w:cs="Times New Roman"/>
          <w:color w:val="1F3864" w:themeColor="accent5" w:themeShade="80"/>
          <w:szCs w:val="22"/>
          <w:lang w:val="en-US"/>
        </w:rPr>
        <w:t>Veliko</w:t>
      </w:r>
      <w:proofErr w:type="spellEnd"/>
      <w:r w:rsidRPr="001D2D5D">
        <w:rPr>
          <w:rFonts w:eastAsia="Calibri" w:cs="Times New Roman"/>
          <w:color w:val="1F3864" w:themeColor="accent5" w:themeShade="80"/>
          <w:szCs w:val="22"/>
          <w:lang w:val="en-US"/>
        </w:rPr>
        <w:t xml:space="preserve"> </w:t>
      </w:r>
      <w:proofErr w:type="spellStart"/>
      <w:r w:rsidRPr="001D2D5D">
        <w:rPr>
          <w:rFonts w:eastAsia="Calibri" w:cs="Times New Roman"/>
          <w:color w:val="1F3864" w:themeColor="accent5" w:themeShade="80"/>
          <w:szCs w:val="22"/>
          <w:lang w:val="en-US"/>
        </w:rPr>
        <w:t>Tarnovo</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implementation of projects and intentions that provide for the use and / or abstraction of surface and groundwater resulting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arising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In accordance with the provisions of Article 116 of the Water Act, all waters and water bodies should be protected from pollution and damage. When implementing the </w:t>
      </w:r>
      <w:proofErr w:type="spellStart"/>
      <w:r w:rsidRPr="001D2D5D">
        <w:rPr>
          <w:rFonts w:eastAsia="Times New Roman" w:cs="Times New Roman"/>
          <w:color w:val="1F3864" w:themeColor="accent5" w:themeShade="80"/>
          <w:szCs w:val="22"/>
          <w:lang w:val="en-US" w:eastAsia="bg-BG"/>
        </w:rPr>
        <w:t>Programme</w:t>
      </w:r>
      <w:proofErr w:type="spellEnd"/>
      <w:r w:rsidRPr="001D2D5D">
        <w:rPr>
          <w:rFonts w:eastAsia="Times New Roman" w:cs="Times New Roman"/>
          <w:color w:val="1F3864" w:themeColor="accent5" w:themeShade="80"/>
          <w:szCs w:val="22"/>
          <w:lang w:val="en-US" w:eastAsia="bg-BG"/>
        </w:rPr>
        <w:t xml:space="preserv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The prohibitions of Art. 146 of the Water Act for construction in the flooded terraces of the rivers and the easement of the </w:t>
      </w:r>
      <w:proofErr w:type="spellStart"/>
      <w:r w:rsidRPr="001D2D5D">
        <w:rPr>
          <w:rFonts w:eastAsia="Times New Roman" w:cs="Times New Roman"/>
          <w:color w:val="1F3864" w:themeColor="accent5" w:themeShade="80"/>
          <w:szCs w:val="22"/>
          <w:lang w:val="en-US" w:eastAsia="bg-BG"/>
        </w:rPr>
        <w:t>hydrotechnical</w:t>
      </w:r>
      <w:proofErr w:type="spellEnd"/>
      <w:r w:rsidRPr="001D2D5D">
        <w:rPr>
          <w:rFonts w:eastAsia="Times New Roman" w:cs="Times New Roman"/>
          <w:color w:val="1F3864" w:themeColor="accent5" w:themeShade="80"/>
          <w:szCs w:val="22"/>
          <w:lang w:val="en-US" w:eastAsia="bg-BG"/>
        </w:rPr>
        <w:t xml:space="preserve">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 xml:space="preserve">The requirements of Art. 44 and Art. 46 of the Water Act, in case of water abstraction and / or use of a water body, including art. 46, para 4 with regard to the discharge of domestic and </w:t>
      </w:r>
      <w:proofErr w:type="spellStart"/>
      <w:r w:rsidRPr="001D2D5D">
        <w:rPr>
          <w:rFonts w:eastAsia="Times New Roman" w:cs="Times New Roman"/>
          <w:color w:val="1F3864" w:themeColor="accent5" w:themeShade="80"/>
          <w:szCs w:val="22"/>
          <w:lang w:val="en-US" w:eastAsia="bg-BG"/>
        </w:rPr>
        <w:t>faecal</w:t>
      </w:r>
      <w:proofErr w:type="spellEnd"/>
      <w:r w:rsidRPr="001D2D5D">
        <w:rPr>
          <w:rFonts w:eastAsia="Times New Roman" w:cs="Times New Roman"/>
          <w:color w:val="1F3864" w:themeColor="accent5" w:themeShade="80"/>
          <w:szCs w:val="22"/>
          <w:lang w:val="en-US" w:eastAsia="bg-BG"/>
        </w:rPr>
        <w:t xml:space="preserve">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he requirements of Art. 156e of the Law</w:t>
      </w:r>
      <w:r w:rsidRPr="001D2D5D">
        <w:rPr>
          <w:rFonts w:eastAsia="Calibri" w:cs="Times New Roman"/>
          <w:color w:val="1F3864" w:themeColor="accent5" w:themeShade="80"/>
          <w:szCs w:val="22"/>
          <w:lang w:val="bg-BG"/>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and measures under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related to the construction of infrastructure sites need to comply with the existing enterprises with high / low risk potential on the territory of the Republic of Bulgaria, within the scope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 xml:space="preserve">Proposed indicators for monitoring the effects of the </w:t>
      </w:r>
      <w:proofErr w:type="spellStart"/>
      <w:r w:rsidRPr="000E0527">
        <w:rPr>
          <w:b/>
          <w:bCs/>
          <w:color w:val="1F3864" w:themeColor="accent5" w:themeShade="80"/>
          <w:szCs w:val="22"/>
          <w:lang w:val="en-US"/>
        </w:rPr>
        <w:t>programme</w:t>
      </w:r>
      <w:bookmarkEnd w:id="3"/>
      <w:proofErr w:type="spellEnd"/>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Applies only to the projects started after the </w:t>
            </w:r>
            <w:proofErr w:type="spellStart"/>
            <w:r w:rsidRPr="000E0527">
              <w:rPr>
                <w:color w:val="1F3864" w:themeColor="accent5" w:themeShade="80"/>
                <w:sz w:val="22"/>
                <w:szCs w:val="22"/>
                <w:lang w:val="en-US"/>
              </w:rPr>
              <w:t>programme</w:t>
            </w:r>
            <w:proofErr w:type="spellEnd"/>
            <w:r w:rsidRPr="000E0527">
              <w:rPr>
                <w:color w:val="1F3864" w:themeColor="accent5" w:themeShade="80"/>
                <w:sz w:val="22"/>
                <w:szCs w:val="22"/>
                <w:lang w:val="en-US"/>
              </w:rPr>
              <w:t xml:space="preserv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lastRenderedPageBreak/>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even" r:id="rId7"/>
      <w:headerReference w:type="default" r:id="rId8"/>
      <w:footerReference w:type="even" r:id="rId9"/>
      <w:footerReference w:type="default" r:id="rId10"/>
      <w:headerReference w:type="first" r:id="rId11"/>
      <w:footerReference w:type="first" r:id="rId12"/>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6" w:rsidRDefault="00F50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747EF">
      <w:rPr>
        <w:caps/>
        <w:noProof/>
        <w:color w:val="5B9BD5" w:themeColor="accent1"/>
      </w:rPr>
      <w:t>15</w:t>
    </w:r>
    <w:r>
      <w:rPr>
        <w:caps/>
        <w:noProof/>
        <w:color w:val="5B9BD5" w:themeColor="accent1"/>
      </w:rPr>
      <w:fldChar w:fldCharType="end"/>
    </w:r>
  </w:p>
  <w:p w:rsidR="00D81729" w:rsidRDefault="00D81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6" w:rsidRDefault="00F50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proofErr w:type="spellStart"/>
      <w:r w:rsidRPr="001D2D5D">
        <w:rPr>
          <w:color w:val="1F3864" w:themeColor="accent5" w:themeShade="80"/>
          <w:sz w:val="18"/>
          <w:szCs w:val="18"/>
        </w:rPr>
        <w:t>See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section</w:t>
      </w:r>
      <w:proofErr w:type="spellEnd"/>
      <w:r w:rsidRPr="001D2D5D">
        <w:rPr>
          <w:color w:val="1F3864" w:themeColor="accent5" w:themeShade="80"/>
          <w:sz w:val="18"/>
          <w:szCs w:val="18"/>
        </w:rPr>
        <w:t xml:space="preserve"> 7.2.5 of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rPr>
        <w:t xml:space="preserve">Code of </w:t>
      </w:r>
      <w:proofErr w:type="spellStart"/>
      <w:r w:rsidRPr="001D2D5D">
        <w:rPr>
          <w:color w:val="1F3864" w:themeColor="accent5" w:themeShade="80"/>
          <w:sz w:val="18"/>
          <w:szCs w:val="18"/>
        </w:rPr>
        <w:t>actions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under</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which</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measures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will</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implemented</w:t>
      </w:r>
      <w:proofErr w:type="spellEnd"/>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proofErr w:type="spellStart"/>
      <w:r w:rsidRPr="001D2D5D">
        <w:rPr>
          <w:color w:val="1F3864" w:themeColor="accent5" w:themeShade="80"/>
          <w:sz w:val="18"/>
          <w:szCs w:val="18"/>
        </w:rPr>
        <w:t>Integrated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solutions</w:t>
      </w:r>
      <w:proofErr w:type="spellEnd"/>
      <w:r w:rsidRPr="001D2D5D">
        <w:rPr>
          <w:color w:val="1F3864" w:themeColor="accent5" w:themeShade="80"/>
          <w:sz w:val="18"/>
          <w:szCs w:val="18"/>
        </w:rPr>
        <w:t xml:space="preserve"> in </w:t>
      </w:r>
      <w:proofErr w:type="spellStart"/>
      <w:r w:rsidRPr="001D2D5D">
        <w:rPr>
          <w:color w:val="1F3864" w:themeColor="accent5" w:themeShade="80"/>
          <w:sz w:val="18"/>
          <w:szCs w:val="18"/>
        </w:rPr>
        <w:t>construction</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such</w:t>
      </w:r>
      <w:proofErr w:type="spellEnd"/>
      <w:r w:rsidRPr="001D2D5D">
        <w:rPr>
          <w:color w:val="1F3864" w:themeColor="accent5" w:themeShade="80"/>
          <w:sz w:val="18"/>
          <w:szCs w:val="18"/>
        </w:rPr>
        <w:t xml:space="preserve"> as </w:t>
      </w:r>
      <w:proofErr w:type="spellStart"/>
      <w:r w:rsidRPr="001D2D5D">
        <w:rPr>
          <w:color w:val="1F3864" w:themeColor="accent5" w:themeShade="80"/>
          <w:sz w:val="18"/>
          <w:szCs w:val="18"/>
        </w:rPr>
        <w:t>bird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nests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and</w:t>
      </w:r>
      <w:proofErr w:type="spellEnd"/>
      <w:r w:rsidRPr="001D2D5D">
        <w:rPr>
          <w:color w:val="1F3864" w:themeColor="accent5" w:themeShade="80"/>
          <w:sz w:val="18"/>
          <w:szCs w:val="18"/>
        </w:rPr>
        <w:t xml:space="preserve"> bat </w:t>
      </w:r>
      <w:proofErr w:type="spellStart"/>
      <w:r w:rsidRPr="001D2D5D">
        <w:rPr>
          <w:color w:val="1F3864" w:themeColor="accent5" w:themeShade="80"/>
          <w:sz w:val="18"/>
          <w:szCs w:val="18"/>
        </w:rPr>
        <w:t>shelters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Some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illustrative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examples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can</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viewed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here</w:t>
      </w:r>
      <w:proofErr w:type="spellEnd"/>
      <w:r w:rsidRPr="001D2D5D">
        <w:rPr>
          <w:color w:val="1F3864" w:themeColor="accent5" w:themeShade="80"/>
          <w:sz w:val="18"/>
          <w:szCs w:val="18"/>
        </w:rPr>
        <w:t xml:space="preserv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rPr>
        <w:t xml:space="preserve">Minimum </w:t>
      </w:r>
      <w:proofErr w:type="spellStart"/>
      <w:r w:rsidRPr="001D2D5D">
        <w:rPr>
          <w:color w:val="1F3864" w:themeColor="accent5" w:themeShade="80"/>
          <w:sz w:val="18"/>
          <w:szCs w:val="18"/>
        </w:rPr>
        <w:t>level</w:t>
      </w:r>
      <w:proofErr w:type="spellEnd"/>
      <w:r w:rsidRPr="001D2D5D">
        <w:rPr>
          <w:color w:val="1F3864" w:themeColor="accent5" w:themeShade="80"/>
          <w:sz w:val="18"/>
          <w:szCs w:val="18"/>
        </w:rPr>
        <w:t xml:space="preserve"> of </w:t>
      </w:r>
      <w:proofErr w:type="spellStart"/>
      <w:r w:rsidRPr="001D2D5D">
        <w:rPr>
          <w:color w:val="1F3864" w:themeColor="accent5" w:themeShade="80"/>
          <w:sz w:val="18"/>
          <w:szCs w:val="18"/>
        </w:rPr>
        <w:t>artificialization</w:t>
      </w:r>
      <w:proofErr w:type="spellEnd"/>
      <w:r w:rsidRPr="001D2D5D">
        <w:rPr>
          <w:color w:val="1F3864" w:themeColor="accent5" w:themeShade="80"/>
          <w:sz w:val="18"/>
          <w:szCs w:val="18"/>
        </w:rPr>
        <w:t xml:space="preserve"> = minimum </w:t>
      </w:r>
      <w:proofErr w:type="spellStart"/>
      <w:r w:rsidRPr="001D2D5D">
        <w:rPr>
          <w:color w:val="1F3864" w:themeColor="accent5" w:themeShade="80"/>
          <w:sz w:val="18"/>
          <w:szCs w:val="18"/>
        </w:rPr>
        <w:t>footprint</w:t>
      </w:r>
      <w:proofErr w:type="spellEnd"/>
      <w:r w:rsidRPr="001D2D5D">
        <w:rPr>
          <w:color w:val="1F3864" w:themeColor="accent5" w:themeShade="80"/>
          <w:sz w:val="18"/>
          <w:szCs w:val="18"/>
        </w:rPr>
        <w:t xml:space="preserve"> of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buildings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platforms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internal</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roads</w:t>
      </w:r>
      <w:proofErr w:type="spellEnd"/>
      <w:r w:rsidRPr="001D2D5D">
        <w:rPr>
          <w:color w:val="1F3864" w:themeColor="accent5" w:themeShade="80"/>
          <w:sz w:val="18"/>
          <w:szCs w:val="18"/>
        </w:rPr>
        <w:t>.</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rPr>
        <w:t>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6" w:rsidRDefault="00F50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1D2D5D" w:rsidP="001D2D5D">
    <w:pPr>
      <w:pStyle w:val="Header"/>
      <w:jc w:val="left"/>
    </w:pPr>
    <w:r>
      <w:rPr>
        <w:noProof/>
        <w:lang w:val="en-US"/>
      </w:rPr>
      <w:drawing>
        <wp:inline distT="0" distB="0" distL="0" distR="0" wp14:anchorId="3A5AFC15" wp14:editId="4F857630">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6" w:rsidRDefault="00F50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65pt;height:358.3pt" o:bullet="t">
        <v:imagedata r:id="rId1" o:title=""/>
      </v:shape>
    </w:pict>
  </w:numPicBullet>
  <w:abstractNum w:abstractNumId="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C525A"/>
    <w:rsid w:val="000E0527"/>
    <w:rsid w:val="000F4010"/>
    <w:rsid w:val="00123A0D"/>
    <w:rsid w:val="00154947"/>
    <w:rsid w:val="00195E47"/>
    <w:rsid w:val="001D2D5D"/>
    <w:rsid w:val="00223F12"/>
    <w:rsid w:val="00227684"/>
    <w:rsid w:val="00340FFF"/>
    <w:rsid w:val="0044675B"/>
    <w:rsid w:val="006D788C"/>
    <w:rsid w:val="00A17E7C"/>
    <w:rsid w:val="00C5142B"/>
    <w:rsid w:val="00C747EF"/>
    <w:rsid w:val="00D81729"/>
    <w:rsid w:val="00DF38B2"/>
    <w:rsid w:val="00E7491B"/>
    <w:rsid w:val="00F5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4146</Words>
  <Characters>23633</Characters>
  <Application>Microsoft Office Word</Application>
  <DocSecurity>0</DocSecurity>
  <Lines>196</Lines>
  <Paragraphs>55</Paragraphs>
  <ScaleCrop>false</ScaleCrop>
  <Company/>
  <LinksUpToDate>false</LinksUpToDate>
  <CharactersWithSpaces>27724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16</cp:revision>
  <dcterms:created xsi:type="dcterms:W3CDTF">2022-08-25T11:22:00Z</dcterms:created>
  <dcterms:modified xsi:type="dcterms:W3CDTF">2024-03-04T09:12:00Z</dcterms:modified>
</cp:coreProperties>
</file>